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05" w:rsidRDefault="0012587A" w:rsidP="00BD1EDF">
      <w:pPr>
        <w:pStyle w:val="SCT"/>
        <w:rPr>
          <w:rStyle w:val="NAM"/>
        </w:rPr>
      </w:pPr>
      <w:bookmarkStart w:id="0" w:name="_Hlk14952380"/>
      <w:r w:rsidRPr="00BD1EDF">
        <w:t xml:space="preserve">SECTION </w:t>
      </w:r>
      <w:r w:rsidR="000A2D98" w:rsidRPr="00BD1EDF">
        <w:rPr>
          <w:rStyle w:val="NUM"/>
        </w:rPr>
        <w:t>31</w:t>
      </w:r>
      <w:r w:rsidR="00276B7B" w:rsidRPr="00BD1EDF">
        <w:rPr>
          <w:rStyle w:val="NUM"/>
        </w:rPr>
        <w:t xml:space="preserve"> </w:t>
      </w:r>
      <w:r w:rsidRPr="00BD1EDF">
        <w:rPr>
          <w:rStyle w:val="NUM"/>
        </w:rPr>
        <w:t>10</w:t>
      </w:r>
      <w:r w:rsidR="001F3C73" w:rsidRPr="00BD1EDF">
        <w:rPr>
          <w:rStyle w:val="NUM"/>
        </w:rPr>
        <w:t>13</w:t>
      </w:r>
      <w:r w:rsidR="00276B7B" w:rsidRPr="00BD1EDF">
        <w:rPr>
          <w:rStyle w:val="NUM"/>
        </w:rPr>
        <w:t xml:space="preserve"> - </w:t>
      </w:r>
      <w:r w:rsidR="00276B7B" w:rsidRPr="00BD1EDF">
        <w:rPr>
          <w:rStyle w:val="NAM"/>
        </w:rPr>
        <w:t>SITE PREPARATION</w:t>
      </w:r>
    </w:p>
    <w:p w:rsidR="00EF2DAE" w:rsidRPr="0085173E" w:rsidRDefault="00EF2DAE" w:rsidP="00EF2DAE">
      <w:pPr>
        <w:pStyle w:val="CMT"/>
        <w:rPr>
          <w:vanish w:val="0"/>
        </w:rPr>
      </w:pPr>
      <w:bookmarkStart w:id="1" w:name="_Hlk19265408"/>
      <w:r w:rsidRPr="0085173E">
        <w:t>Revise this Section by deleting and inserting text to meet Project-specific requirement</w:t>
      </w:r>
      <w:r>
        <w:t>s</w:t>
      </w:r>
      <w:r w:rsidRPr="0085173E">
        <w:t>.</w:t>
      </w:r>
    </w:p>
    <w:p w:rsidR="00EF2DAE" w:rsidRPr="0085173E" w:rsidRDefault="00EF2DAE" w:rsidP="00EF2DAE">
      <w:pPr>
        <w:pStyle w:val="CMT"/>
        <w:rPr>
          <w:vanish w:val="0"/>
        </w:rPr>
      </w:pPr>
      <w:r w:rsidRPr="0085173E">
        <w:t>This Sect</w:t>
      </w:r>
      <w:r>
        <w:t xml:space="preserve">ion uses the term "Landscape Architect." </w:t>
      </w:r>
      <w:r w:rsidRPr="0085173E">
        <w:t>Change this term to match that used to identify the design professional as defined in the General and Supplementary Conditions.</w:t>
      </w:r>
    </w:p>
    <w:p w:rsidR="00EF2DAE" w:rsidRDefault="00EF2DAE" w:rsidP="00EF2DAE">
      <w:pPr>
        <w:pStyle w:val="CMT"/>
        <w:rPr>
          <w:vanish w:val="0"/>
        </w:rPr>
      </w:pPr>
      <w:r w:rsidRPr="0085173E">
        <w:t>Verify that Section titles referenced in this Section are correct for this Project's Specifications; Section titles may have changed.</w:t>
      </w:r>
    </w:p>
    <w:p w:rsidR="00EF2DAE" w:rsidRPr="00EF2DAE" w:rsidRDefault="00EF2DAE" w:rsidP="00EF2DAE">
      <w:pPr>
        <w:pStyle w:val="CMT"/>
      </w:pPr>
      <w:r w:rsidRPr="003B0987">
        <w:t>Delete hidden text after this Section has been edited for the Project</w:t>
      </w:r>
      <w:r>
        <w:t>.</w:t>
      </w:r>
      <w:bookmarkEnd w:id="1"/>
    </w:p>
    <w:p w:rsidR="0012587A" w:rsidRPr="00F77B6F" w:rsidRDefault="0012587A" w:rsidP="00F77B6F">
      <w:pPr>
        <w:pStyle w:val="PRT"/>
      </w:pPr>
      <w:bookmarkStart w:id="2" w:name="_Hlk14952366"/>
      <w:bookmarkEnd w:id="0"/>
      <w:r w:rsidRPr="00F77B6F">
        <w:t>GENERAL</w:t>
      </w:r>
    </w:p>
    <w:p w:rsidR="00BC24F8" w:rsidRDefault="00BC24F8" w:rsidP="002733D9">
      <w:pPr>
        <w:pStyle w:val="ART"/>
      </w:pPr>
      <w:bookmarkStart w:id="3" w:name="_Hlk14943317"/>
      <w:bookmarkEnd w:id="2"/>
      <w:r>
        <w:t>RELATED DOCUMENTS</w:t>
      </w:r>
      <w:bookmarkEnd w:id="3"/>
    </w:p>
    <w:p w:rsidR="00BC24F8" w:rsidRPr="00BC24F8" w:rsidRDefault="00BC24F8" w:rsidP="00BC24F8">
      <w:pPr>
        <w:pStyle w:val="PR1"/>
      </w:pPr>
      <w:bookmarkStart w:id="4" w:name="_Hlk14943325"/>
      <w:bookmarkStart w:id="5" w:name="_Hlk14952614"/>
      <w:r w:rsidRPr="00BC24F8">
        <w:t>Drawings and general provisions of the Contract, including General and Supplementary Conditions and Division 01 Specification Sections, apply to this Section.</w:t>
      </w:r>
      <w:bookmarkEnd w:id="4"/>
    </w:p>
    <w:p w:rsidR="00BC24F8" w:rsidRDefault="00BC24F8" w:rsidP="00BC24F8">
      <w:pPr>
        <w:pStyle w:val="PR1"/>
      </w:pPr>
      <w:bookmarkStart w:id="6" w:name="_Hlk14952700"/>
      <w:bookmarkStart w:id="7" w:name="_Hlk14943337"/>
      <w:bookmarkEnd w:id="5"/>
      <w:r>
        <w:t>The Contractor's attention is specifically directed, but not limited, to the following documents for additional requirements</w:t>
      </w:r>
      <w:bookmarkEnd w:id="6"/>
      <w:r>
        <w:t>:</w:t>
      </w:r>
      <w:bookmarkEnd w:id="7"/>
    </w:p>
    <w:p w:rsidR="00BC24F8" w:rsidRDefault="00EF2DAE" w:rsidP="00BC24F8">
      <w:pPr>
        <w:pStyle w:val="PR2"/>
        <w:spacing w:before="120"/>
      </w:pPr>
      <w:bookmarkStart w:id="8" w:name="_Hlk14943359"/>
      <w:bookmarkStart w:id="9" w:name="_Hlk14952661"/>
      <w:r w:rsidRPr="00A7352B">
        <w:t xml:space="preserve">The current version of the </w:t>
      </w:r>
      <w:r w:rsidRPr="00A7352B">
        <w:rPr>
          <w:i/>
        </w:rPr>
        <w:t>Uniform General Conditions for Construction Contracts</w:t>
      </w:r>
      <w:r w:rsidRPr="00A7352B">
        <w:t xml:space="preserve">, State of Texas, available on the </w:t>
      </w:r>
      <w:r>
        <w:t xml:space="preserve">web site of the </w:t>
      </w:r>
      <w:r w:rsidRPr="00A7352B">
        <w:t>Texas Facilities Commission</w:t>
      </w:r>
      <w:r w:rsidR="00BC24F8">
        <w:t>.</w:t>
      </w:r>
      <w:bookmarkEnd w:id="8"/>
    </w:p>
    <w:p w:rsidR="00BC24F8" w:rsidRPr="00BC24F8" w:rsidRDefault="00BC24F8" w:rsidP="00BC24F8">
      <w:pPr>
        <w:pStyle w:val="PR2"/>
      </w:pPr>
      <w:bookmarkStart w:id="10" w:name="_Hlk14943371"/>
      <w:bookmarkEnd w:id="9"/>
      <w:r>
        <w:t xml:space="preserve">The University of Houston’s </w:t>
      </w:r>
      <w:r w:rsidRPr="00AA3913">
        <w:rPr>
          <w:i/>
        </w:rPr>
        <w:t>Supplemental General Cond</w:t>
      </w:r>
      <w:r>
        <w:rPr>
          <w:i/>
        </w:rPr>
        <w:t>itions and Special Conditions for</w:t>
      </w:r>
      <w:r w:rsidRPr="00AA3913">
        <w:rPr>
          <w:i/>
        </w:rPr>
        <w:t xml:space="preserve"> Construction.</w:t>
      </w:r>
      <w:bookmarkEnd w:id="10"/>
    </w:p>
    <w:p w:rsidR="0012587A" w:rsidRPr="002733D9" w:rsidRDefault="0012587A" w:rsidP="002733D9">
      <w:pPr>
        <w:pStyle w:val="ART"/>
      </w:pPr>
      <w:r w:rsidRPr="002733D9">
        <w:t>SUMMARY</w:t>
      </w:r>
    </w:p>
    <w:p w:rsidR="0012587A" w:rsidRPr="00276B7B" w:rsidRDefault="0012587A" w:rsidP="00276B7B">
      <w:pPr>
        <w:pStyle w:val="PR1"/>
      </w:pPr>
      <w:r w:rsidRPr="00276B7B">
        <w:t>Thi</w:t>
      </w:r>
      <w:r w:rsidR="001F3C73" w:rsidRPr="00276B7B">
        <w:t>s Section includes</w:t>
      </w:r>
      <w:r w:rsidR="00276B7B" w:rsidRPr="00276B7B">
        <w:t xml:space="preserve"> the following:</w:t>
      </w:r>
    </w:p>
    <w:p w:rsidR="00276B7B" w:rsidRPr="002733D9" w:rsidRDefault="0098013F" w:rsidP="002A46E7">
      <w:pPr>
        <w:pStyle w:val="PR2"/>
        <w:spacing w:before="120"/>
      </w:pPr>
      <w:r w:rsidRPr="002733D9">
        <w:t>Felling of trees including removal of stumps, roots, and other debris.</w:t>
      </w:r>
    </w:p>
    <w:p w:rsidR="0098013F" w:rsidRPr="002733D9" w:rsidRDefault="0098013F" w:rsidP="002733D9">
      <w:pPr>
        <w:pStyle w:val="PR2"/>
      </w:pPr>
      <w:r w:rsidRPr="002733D9">
        <w:t>Removing shrubs, grass, weeds, and other understory vegetation.</w:t>
      </w:r>
    </w:p>
    <w:p w:rsidR="0098013F" w:rsidRPr="002733D9" w:rsidRDefault="0098013F" w:rsidP="002733D9">
      <w:pPr>
        <w:pStyle w:val="PR2"/>
      </w:pPr>
      <w:r w:rsidRPr="002733D9">
        <w:t>Construction of protection fencing around trees.</w:t>
      </w:r>
    </w:p>
    <w:p w:rsidR="0098013F" w:rsidRPr="002733D9" w:rsidRDefault="0098013F" w:rsidP="002733D9">
      <w:pPr>
        <w:pStyle w:val="PR2"/>
      </w:pPr>
      <w:r w:rsidRPr="002733D9">
        <w:t>Cleanup and removal of debris and material, labor, tools, machinery and processes neces</w:t>
      </w:r>
      <w:r w:rsidRPr="002733D9">
        <w:softHyphen/>
        <w:t>sary to complete the above</w:t>
      </w:r>
    </w:p>
    <w:p w:rsidR="006D096D" w:rsidRDefault="00DE17EF" w:rsidP="002733D9">
      <w:pPr>
        <w:pStyle w:val="ART"/>
      </w:pPr>
      <w:r>
        <w:t>ACTION SUBMITTALS</w:t>
      </w:r>
    </w:p>
    <w:p w:rsidR="00DE17EF" w:rsidRDefault="00DE17EF" w:rsidP="00DE17EF">
      <w:pPr>
        <w:pStyle w:val="PR1"/>
      </w:pPr>
      <w:r>
        <w:t>Product Data: For each type of product.</w:t>
      </w:r>
    </w:p>
    <w:p w:rsidR="00DE17EF" w:rsidRDefault="00DE17EF" w:rsidP="00540EA8">
      <w:pPr>
        <w:pStyle w:val="PR2"/>
        <w:spacing w:before="120"/>
      </w:pPr>
      <w:r>
        <w:t>Include recommendations for application and use.</w:t>
      </w:r>
    </w:p>
    <w:p w:rsidR="00DE17EF" w:rsidRPr="00DE17EF" w:rsidRDefault="00DE17EF" w:rsidP="00540EA8">
      <w:pPr>
        <w:pStyle w:val="PR2"/>
      </w:pPr>
      <w:r>
        <w:t>Include test data substantiating that products comply with requirements.</w:t>
      </w:r>
    </w:p>
    <w:p w:rsidR="0012587A" w:rsidRPr="002733D9" w:rsidRDefault="0012587A" w:rsidP="002733D9">
      <w:pPr>
        <w:pStyle w:val="ART"/>
      </w:pPr>
      <w:r w:rsidRPr="002733D9">
        <w:lastRenderedPageBreak/>
        <w:t>PROJECT CONDITIONS</w:t>
      </w:r>
    </w:p>
    <w:p w:rsidR="0012587A" w:rsidRPr="00276B7B" w:rsidRDefault="002A46E7" w:rsidP="00276B7B">
      <w:pPr>
        <w:pStyle w:val="PR1"/>
      </w:pPr>
      <w:r>
        <w:t xml:space="preserve">Traffic: </w:t>
      </w:r>
      <w:r w:rsidR="0012587A" w:rsidRPr="00276B7B">
        <w:t>Minimize interference with adjoining roads, streets, walks, and other adjacent occupied or used</w:t>
      </w:r>
      <w:r w:rsidR="001F3C73" w:rsidRPr="00276B7B">
        <w:t xml:space="preserve"> facilities during site-preparation</w:t>
      </w:r>
      <w:r w:rsidR="0012587A" w:rsidRPr="00276B7B">
        <w:t xml:space="preserve"> operations.</w:t>
      </w:r>
    </w:p>
    <w:p w:rsidR="0012587A" w:rsidRPr="00276B7B" w:rsidRDefault="0012587A" w:rsidP="002019C3">
      <w:pPr>
        <w:pStyle w:val="PR2"/>
        <w:spacing w:before="120"/>
      </w:pPr>
      <w:r w:rsidRPr="00276B7B">
        <w:t xml:space="preserve">Do not close or obstruct streets, walks, or other adjacent occupied or used facilities without </w:t>
      </w:r>
      <w:r w:rsidR="00885F1C">
        <w:t xml:space="preserve">written </w:t>
      </w:r>
      <w:r w:rsidRPr="00276B7B">
        <w:t xml:space="preserve">permission from Owner and </w:t>
      </w:r>
      <w:r w:rsidR="00EE5A0E">
        <w:t>A</w:t>
      </w:r>
      <w:r w:rsidRPr="00276B7B">
        <w:t xml:space="preserve">uthorities </w:t>
      </w:r>
      <w:r w:rsidR="00EE5A0E">
        <w:t>H</w:t>
      </w:r>
      <w:r w:rsidRPr="00276B7B">
        <w:t xml:space="preserve">aving </w:t>
      </w:r>
      <w:r w:rsidR="00EE5A0E">
        <w:t>J</w:t>
      </w:r>
      <w:r w:rsidRPr="00276B7B">
        <w:t>urisdiction.</w:t>
      </w:r>
    </w:p>
    <w:p w:rsidR="0012587A" w:rsidRPr="002733D9" w:rsidRDefault="0012587A" w:rsidP="00276B7B">
      <w:pPr>
        <w:pStyle w:val="PR2"/>
      </w:pPr>
      <w:r w:rsidRPr="00276B7B">
        <w:t xml:space="preserve">Provide alternate routes around closed or obstructed traffic ways if required by </w:t>
      </w:r>
      <w:r w:rsidR="003E0DDB">
        <w:t xml:space="preserve">the Owner or </w:t>
      </w:r>
      <w:r w:rsidR="003C62A2">
        <w:t>A</w:t>
      </w:r>
      <w:r w:rsidRPr="00276B7B">
        <w:t xml:space="preserve">uthorities </w:t>
      </w:r>
      <w:r w:rsidR="003C62A2">
        <w:t>H</w:t>
      </w:r>
      <w:r w:rsidRPr="00276B7B">
        <w:t xml:space="preserve">aving </w:t>
      </w:r>
      <w:r w:rsidR="003C62A2">
        <w:t>J</w:t>
      </w:r>
      <w:r w:rsidRPr="00276B7B">
        <w:t>urisdiction.</w:t>
      </w:r>
    </w:p>
    <w:p w:rsidR="00FD3E6E" w:rsidRPr="002733D9" w:rsidRDefault="00FD3E6E" w:rsidP="002733D9">
      <w:pPr>
        <w:pStyle w:val="ART"/>
      </w:pPr>
      <w:r w:rsidRPr="002733D9">
        <w:t>QUALITY ASSURANCE</w:t>
      </w:r>
    </w:p>
    <w:p w:rsidR="00FD3E6E" w:rsidRPr="00276B7B" w:rsidRDefault="00FD3E6E" w:rsidP="00276B7B">
      <w:pPr>
        <w:pStyle w:val="PR1"/>
      </w:pPr>
      <w:r w:rsidRPr="00276B7B">
        <w:t>Qualifications</w:t>
      </w:r>
      <w:r w:rsidR="002A46E7">
        <w:t xml:space="preserve">: </w:t>
      </w:r>
      <w:r w:rsidRPr="00276B7B">
        <w:t xml:space="preserve">Work shall be performed by personnel trained and experienced in </w:t>
      </w:r>
      <w:r w:rsidR="006D096D">
        <w:t>the execution of the W</w:t>
      </w:r>
      <w:r w:rsidRPr="00276B7B">
        <w:t>ork and under the direct supervision of a superintendent on Contractor’s staff.</w:t>
      </w:r>
    </w:p>
    <w:p w:rsidR="00FD3E6E" w:rsidRPr="00276B7B" w:rsidRDefault="002A46E7" w:rsidP="00276B7B">
      <w:pPr>
        <w:pStyle w:val="PR1"/>
      </w:pPr>
      <w:r>
        <w:t xml:space="preserve">Workmanship: </w:t>
      </w:r>
      <w:r w:rsidR="00FD3E6E" w:rsidRPr="00276B7B">
        <w:t>Perform work in conformance with r</w:t>
      </w:r>
      <w:r>
        <w:t>ecognized acceptable practices.</w:t>
      </w:r>
      <w:r w:rsidR="00FD3E6E" w:rsidRPr="00276B7B">
        <w:t xml:space="preserve"> Where job requirements require deviation from those practices, obtain approval from </w:t>
      </w:r>
      <w:r w:rsidR="006D096D">
        <w:t xml:space="preserve">the Owner </w:t>
      </w:r>
      <w:r w:rsidR="00FD3E6E" w:rsidRPr="00276B7B">
        <w:t>before</w:t>
      </w:r>
      <w:r w:rsidR="006D096D">
        <w:t xml:space="preserve"> proceeding</w:t>
      </w:r>
      <w:r w:rsidR="00FD3E6E" w:rsidRPr="00276B7B">
        <w:t>.</w:t>
      </w:r>
    </w:p>
    <w:p w:rsidR="00380BA6" w:rsidRDefault="00380BA6" w:rsidP="002733D9">
      <w:pPr>
        <w:pStyle w:val="ART"/>
      </w:pPr>
      <w:r>
        <w:t>DELIVERY, STORAGE, AND HANDLING</w:t>
      </w:r>
    </w:p>
    <w:p w:rsidR="00380BA6" w:rsidRDefault="00380BA6" w:rsidP="00380BA6">
      <w:pPr>
        <w:pStyle w:val="PR1"/>
      </w:pPr>
      <w:r>
        <w:t>Packaged Materials: Deliver packaged materials in original, unopened containers showing weight, certified analysis, name and address of manufacturer, and compliance with applicable state and Federal laws.</w:t>
      </w:r>
    </w:p>
    <w:p w:rsidR="00380BA6" w:rsidRPr="00380BA6" w:rsidRDefault="00380BA6" w:rsidP="00380BA6">
      <w:pPr>
        <w:pStyle w:val="PR2"/>
        <w:spacing w:before="120"/>
      </w:pPr>
      <w:r>
        <w:t>Store and handle materials as recommended in writing by materials manufacturer.</w:t>
      </w:r>
    </w:p>
    <w:p w:rsidR="00290F72" w:rsidRPr="002733D9" w:rsidRDefault="00290F72" w:rsidP="002733D9">
      <w:pPr>
        <w:pStyle w:val="ART"/>
      </w:pPr>
      <w:r w:rsidRPr="002733D9">
        <w:t>EXISTING CONDITIONS</w:t>
      </w:r>
    </w:p>
    <w:p w:rsidR="00290F72" w:rsidRPr="00276B7B" w:rsidRDefault="00290F72" w:rsidP="00276B7B">
      <w:pPr>
        <w:pStyle w:val="PR1"/>
      </w:pPr>
      <w:r w:rsidRPr="00276B7B">
        <w:t>Protection of Existing Utilities:</w:t>
      </w:r>
    </w:p>
    <w:p w:rsidR="00290F72" w:rsidRPr="00276B7B" w:rsidRDefault="00290F72" w:rsidP="002019C3">
      <w:pPr>
        <w:pStyle w:val="PR2"/>
        <w:spacing w:before="120"/>
      </w:pPr>
      <w:r w:rsidRPr="00276B7B">
        <w:t>Existence and location of undergr</w:t>
      </w:r>
      <w:r w:rsidR="002A46E7">
        <w:t xml:space="preserve">ound items are not guaranteed. </w:t>
      </w:r>
      <w:r w:rsidRPr="00276B7B">
        <w:t>Investigate and fiel</w:t>
      </w:r>
      <w:r w:rsidR="002A46E7">
        <w:t xml:space="preserve">d verify before starting work. </w:t>
      </w:r>
      <w:r w:rsidRPr="00276B7B">
        <w:t>Excavation and backfill in the vicinity of existing items of work shall be carried out with extreme caution.</w:t>
      </w:r>
    </w:p>
    <w:p w:rsidR="00290F72" w:rsidRPr="00276B7B" w:rsidRDefault="00290F72" w:rsidP="00276B7B">
      <w:pPr>
        <w:pStyle w:val="PR2"/>
      </w:pPr>
      <w:r w:rsidRPr="00276B7B">
        <w:t>Contractor shall be held responsible for any damage and for maintenance and protection of existing utilities.</w:t>
      </w:r>
    </w:p>
    <w:p w:rsidR="00290F72" w:rsidRPr="00276B7B" w:rsidRDefault="00290F72" w:rsidP="00276B7B">
      <w:pPr>
        <w:pStyle w:val="PR2"/>
      </w:pPr>
      <w:r w:rsidRPr="00276B7B">
        <w:t xml:space="preserve">Indicate on record drawings where there is conflict between field conditions and </w:t>
      </w:r>
      <w:r w:rsidR="00E43EBA">
        <w:t>D</w:t>
      </w:r>
      <w:r w:rsidRPr="00276B7B">
        <w:t>rawings.</w:t>
      </w:r>
    </w:p>
    <w:p w:rsidR="0012587A" w:rsidRPr="00F77B6F" w:rsidRDefault="0012587A" w:rsidP="00F77B6F">
      <w:pPr>
        <w:pStyle w:val="PRT"/>
      </w:pPr>
      <w:r w:rsidRPr="00F77B6F">
        <w:t>PRODUCTS</w:t>
      </w:r>
    </w:p>
    <w:p w:rsidR="0012587A" w:rsidRPr="002733D9" w:rsidRDefault="001F3C73" w:rsidP="002733D9">
      <w:pPr>
        <w:pStyle w:val="ART"/>
      </w:pPr>
      <w:r w:rsidRPr="002733D9">
        <w:t>EQUIPMENT</w:t>
      </w:r>
    </w:p>
    <w:p w:rsidR="001F3C73" w:rsidRDefault="002A46E7" w:rsidP="00276B7B">
      <w:pPr>
        <w:pStyle w:val="PR1"/>
      </w:pPr>
      <w:r>
        <w:t xml:space="preserve">Machinery: </w:t>
      </w:r>
      <w:r w:rsidR="001F3C73" w:rsidRPr="00276B7B">
        <w:t>Machine</w:t>
      </w:r>
      <w:r>
        <w:t xml:space="preserve">ry shall be approved by Owner. </w:t>
      </w:r>
      <w:r w:rsidR="001F3C73" w:rsidRPr="00276B7B">
        <w:t>Contractor shall provide equipment and machinery sufficient for proper execution of Work.</w:t>
      </w:r>
    </w:p>
    <w:p w:rsidR="003E0DDB" w:rsidRDefault="003E0DDB" w:rsidP="00276B7B">
      <w:pPr>
        <w:pStyle w:val="PR1"/>
      </w:pPr>
      <w:r>
        <w:lastRenderedPageBreak/>
        <w:t>Herbicide: Pre-emergent herbicide effective in controlling the germination or growth of weeds within planted areas.</w:t>
      </w:r>
    </w:p>
    <w:p w:rsidR="00FE385E" w:rsidRDefault="00FE385E" w:rsidP="00276B7B">
      <w:pPr>
        <w:pStyle w:val="PR1"/>
      </w:pPr>
      <w:r>
        <w:t>Siltation Fencing: Complying with ASTM D6461.</w:t>
      </w:r>
    </w:p>
    <w:p w:rsidR="002157D1" w:rsidRDefault="009A495A" w:rsidP="00276B7B">
      <w:pPr>
        <w:pStyle w:val="PR1"/>
      </w:pPr>
      <w:r>
        <w:t xml:space="preserve">Temporary </w:t>
      </w:r>
      <w:r w:rsidR="00F77B6F">
        <w:t xml:space="preserve">Tree and </w:t>
      </w:r>
      <w:r w:rsidR="002157D1">
        <w:t>Plant Protection Fencing:</w:t>
      </w:r>
    </w:p>
    <w:p w:rsidR="00F77B6F" w:rsidRPr="001E51BE" w:rsidRDefault="007F01D9" w:rsidP="00874D8B">
      <w:pPr>
        <w:pStyle w:val="PR2"/>
        <w:spacing w:before="120"/>
        <w:rPr>
          <w:rFonts w:asciiTheme="minorHAnsi" w:hAnsiTheme="minorHAnsi" w:cstheme="minorHAnsi"/>
        </w:rPr>
      </w:pPr>
      <w:r w:rsidRPr="001E51BE">
        <w:rPr>
          <w:rFonts w:asciiTheme="minorHAnsi" w:hAnsiTheme="minorHAnsi" w:cstheme="minorHAnsi"/>
        </w:rPr>
        <w:t xml:space="preserve">Provide </w:t>
      </w:r>
      <w:r w:rsidR="001E51BE" w:rsidRPr="00791E6C">
        <w:t>ASTM A392</w:t>
      </w:r>
      <w:r w:rsidR="001E51BE">
        <w:t xml:space="preserve">, Type II, </w:t>
      </w:r>
      <w:r w:rsidR="001E51BE" w:rsidRPr="00791E6C">
        <w:t xml:space="preserve">Class 1, </w:t>
      </w:r>
      <w:r w:rsidR="001E51BE" w:rsidRPr="00791E6C">
        <w:rPr>
          <w:rStyle w:val="IP"/>
        </w:rPr>
        <w:t>1.2 oz./sq. ft.</w:t>
      </w:r>
      <w:r w:rsidR="001E51BE" w:rsidRPr="00791E6C">
        <w:rPr>
          <w:rStyle w:val="SI"/>
        </w:rPr>
        <w:t xml:space="preserve"> </w:t>
      </w:r>
      <w:r w:rsidR="001E51BE" w:rsidRPr="001E51BE">
        <w:rPr>
          <w:rStyle w:val="SI"/>
          <w:vanish/>
        </w:rPr>
        <w:t>(366 g/sq. m)</w:t>
      </w:r>
      <w:r w:rsidR="001E51BE">
        <w:rPr>
          <w:rStyle w:val="SI"/>
        </w:rPr>
        <w:t xml:space="preserve"> </w:t>
      </w:r>
      <w:r w:rsidR="001E51BE">
        <w:t>z</w:t>
      </w:r>
      <w:r w:rsidR="001E51BE" w:rsidRPr="00791E6C">
        <w:t>inc-</w:t>
      </w:r>
      <w:r w:rsidR="001E51BE">
        <w:t>c</w:t>
      </w:r>
      <w:r w:rsidR="001E51BE" w:rsidRPr="00791E6C">
        <w:t xml:space="preserve">oated </w:t>
      </w:r>
      <w:r w:rsidR="002157D1" w:rsidRPr="001E51BE">
        <w:rPr>
          <w:rFonts w:asciiTheme="minorHAnsi" w:hAnsiTheme="minorHAnsi" w:cstheme="minorHAnsi"/>
        </w:rPr>
        <w:t xml:space="preserve">chain link </w:t>
      </w:r>
      <w:r w:rsidRPr="001E51BE">
        <w:rPr>
          <w:rFonts w:asciiTheme="minorHAnsi" w:hAnsiTheme="minorHAnsi" w:cstheme="minorHAnsi"/>
        </w:rPr>
        <w:t>fabric in one-piece heights measured between top and bottom of outer edge of selvage knuckle or twist according to "CLFMI Product Manual" and requirements indicated below:</w:t>
      </w:r>
    </w:p>
    <w:p w:rsidR="007F01D9" w:rsidRPr="001E51BE" w:rsidRDefault="007F01D9" w:rsidP="001E51BE">
      <w:pPr>
        <w:pStyle w:val="PR3"/>
        <w:spacing w:before="120"/>
        <w:rPr>
          <w:rFonts w:asciiTheme="minorHAnsi" w:hAnsiTheme="minorHAnsi" w:cstheme="minorHAnsi"/>
        </w:rPr>
      </w:pPr>
      <w:r w:rsidRPr="001E51BE">
        <w:rPr>
          <w:rFonts w:asciiTheme="minorHAnsi" w:hAnsiTheme="minorHAnsi" w:cstheme="minorHAnsi"/>
        </w:rPr>
        <w:t xml:space="preserve">Fabric Height: </w:t>
      </w:r>
      <w:r w:rsidR="002157D1" w:rsidRPr="001E51BE">
        <w:rPr>
          <w:rFonts w:asciiTheme="minorHAnsi" w:hAnsiTheme="minorHAnsi" w:cstheme="minorHAnsi"/>
        </w:rPr>
        <w:t>Five feet.</w:t>
      </w:r>
    </w:p>
    <w:p w:rsidR="002157D1" w:rsidRPr="001E51BE" w:rsidRDefault="002157D1" w:rsidP="002157D1">
      <w:pPr>
        <w:pStyle w:val="PR3"/>
        <w:rPr>
          <w:rStyle w:val="SI"/>
          <w:rFonts w:asciiTheme="minorHAnsi" w:hAnsiTheme="minorHAnsi" w:cstheme="minorHAnsi"/>
          <w:color w:val="auto"/>
        </w:rPr>
      </w:pPr>
      <w:r w:rsidRPr="001E51BE">
        <w:rPr>
          <w:rFonts w:asciiTheme="minorHAnsi" w:hAnsiTheme="minorHAnsi" w:cstheme="minorHAnsi"/>
        </w:rPr>
        <w:t xml:space="preserve">Wire Diameter: </w:t>
      </w:r>
      <w:r w:rsidRPr="001E51BE">
        <w:rPr>
          <w:rStyle w:val="IP"/>
          <w:rFonts w:asciiTheme="minorHAnsi" w:hAnsiTheme="minorHAnsi" w:cstheme="minorHAnsi"/>
        </w:rPr>
        <w:t>0.148 inch</w:t>
      </w:r>
      <w:r w:rsidRPr="001E51BE">
        <w:rPr>
          <w:rStyle w:val="SI"/>
          <w:rFonts w:asciiTheme="minorHAnsi" w:hAnsiTheme="minorHAnsi" w:cstheme="minorHAnsi"/>
        </w:rPr>
        <w:t xml:space="preserve"> (</w:t>
      </w:r>
      <w:r w:rsidRPr="001E51BE">
        <w:rPr>
          <w:rStyle w:val="SI"/>
          <w:rFonts w:asciiTheme="minorHAnsi" w:hAnsiTheme="minorHAnsi" w:cstheme="minorHAnsi"/>
          <w:caps/>
        </w:rPr>
        <w:t>3.76 mm</w:t>
      </w:r>
      <w:r w:rsidRPr="001E51BE">
        <w:rPr>
          <w:rStyle w:val="SI"/>
          <w:rFonts w:asciiTheme="minorHAnsi" w:hAnsiTheme="minorHAnsi" w:cstheme="minorHAnsi"/>
        </w:rPr>
        <w:t>).</w:t>
      </w:r>
    </w:p>
    <w:p w:rsidR="002157D1" w:rsidRPr="001E51BE" w:rsidRDefault="002157D1" w:rsidP="002157D1">
      <w:pPr>
        <w:pStyle w:val="PR3"/>
        <w:rPr>
          <w:rStyle w:val="SI"/>
          <w:rFonts w:asciiTheme="minorHAnsi" w:hAnsiTheme="minorHAnsi" w:cstheme="minorHAnsi"/>
          <w:color w:val="auto"/>
        </w:rPr>
      </w:pPr>
      <w:r w:rsidRPr="001E51BE">
        <w:rPr>
          <w:rFonts w:asciiTheme="minorHAnsi" w:hAnsiTheme="minorHAnsi" w:cstheme="minorHAnsi"/>
        </w:rPr>
        <w:t xml:space="preserve">Mesh Size: </w:t>
      </w:r>
      <w:r w:rsidRPr="001E51BE">
        <w:rPr>
          <w:rStyle w:val="IP"/>
          <w:rFonts w:asciiTheme="minorHAnsi" w:hAnsiTheme="minorHAnsi" w:cstheme="minorHAnsi"/>
        </w:rPr>
        <w:t>2 inches</w:t>
      </w:r>
      <w:r w:rsidRPr="001E51BE">
        <w:rPr>
          <w:rStyle w:val="SI"/>
          <w:rFonts w:asciiTheme="minorHAnsi" w:hAnsiTheme="minorHAnsi" w:cstheme="minorHAnsi"/>
        </w:rPr>
        <w:t xml:space="preserve"> </w:t>
      </w:r>
      <w:r w:rsidRPr="001E51BE">
        <w:rPr>
          <w:rStyle w:val="SI"/>
          <w:rFonts w:asciiTheme="minorHAnsi" w:hAnsiTheme="minorHAnsi" w:cstheme="minorHAnsi"/>
          <w:vanish/>
        </w:rPr>
        <w:t>(50 mm)</w:t>
      </w:r>
      <w:r w:rsidRPr="001E51BE">
        <w:rPr>
          <w:rStyle w:val="SI"/>
          <w:rFonts w:asciiTheme="minorHAnsi" w:hAnsiTheme="minorHAnsi" w:cstheme="minorHAnsi"/>
          <w:b/>
        </w:rPr>
        <w:t>.</w:t>
      </w:r>
    </w:p>
    <w:p w:rsidR="002157D1" w:rsidRPr="00874D8B" w:rsidRDefault="002157D1" w:rsidP="00874D8B">
      <w:pPr>
        <w:pStyle w:val="PR2"/>
      </w:pPr>
      <w:r w:rsidRPr="00874D8B">
        <w:t>Posts: ASTM F1043</w:t>
      </w:r>
      <w:r w:rsidR="001E51BE" w:rsidRPr="00874D8B">
        <w:t>, Group IC-L, light industrial round steel pipe.</w:t>
      </w:r>
    </w:p>
    <w:p w:rsidR="001E51BE" w:rsidRPr="001E51BE" w:rsidRDefault="001E51BE" w:rsidP="001E51BE">
      <w:pPr>
        <w:pStyle w:val="PR2"/>
        <w:rPr>
          <w:rFonts w:asciiTheme="minorHAnsi" w:hAnsiTheme="minorHAnsi" w:cstheme="minorHAnsi"/>
        </w:rPr>
      </w:pPr>
      <w:r w:rsidRPr="001E51BE">
        <w:rPr>
          <w:rFonts w:asciiTheme="minorHAnsi" w:hAnsiTheme="minorHAnsi" w:cstheme="minorHAnsi"/>
        </w:rPr>
        <w:t>Standard Round Wire Ties: For attaching chain-link fabric to posts according to the following:</w:t>
      </w:r>
    </w:p>
    <w:p w:rsidR="001E51BE" w:rsidRPr="00874D8B" w:rsidRDefault="00874D8B" w:rsidP="00874D8B">
      <w:pPr>
        <w:pStyle w:val="PR3"/>
        <w:spacing w:before="120"/>
        <w:rPr>
          <w:rFonts w:asciiTheme="minorHAnsi" w:hAnsiTheme="minorHAnsi" w:cstheme="minorHAnsi"/>
        </w:rPr>
      </w:pPr>
      <w:r w:rsidRPr="00874D8B">
        <w:rPr>
          <w:rFonts w:asciiTheme="minorHAnsi" w:hAnsiTheme="minorHAnsi" w:cstheme="minorHAnsi"/>
        </w:rPr>
        <w:t xml:space="preserve">Hot-Dip Galvanized Steel: </w:t>
      </w:r>
      <w:r w:rsidRPr="00874D8B">
        <w:rPr>
          <w:rStyle w:val="IP"/>
          <w:rFonts w:asciiTheme="minorHAnsi" w:hAnsiTheme="minorHAnsi" w:cstheme="minorHAnsi"/>
        </w:rPr>
        <w:t>0.106-inch-</w:t>
      </w:r>
      <w:r w:rsidRPr="00874D8B">
        <w:rPr>
          <w:rStyle w:val="SI"/>
          <w:rFonts w:asciiTheme="minorHAnsi" w:hAnsiTheme="minorHAnsi" w:cstheme="minorHAnsi"/>
        </w:rPr>
        <w:t xml:space="preserve"> </w:t>
      </w:r>
      <w:r w:rsidRPr="00874D8B">
        <w:rPr>
          <w:rStyle w:val="SI"/>
          <w:rFonts w:asciiTheme="minorHAnsi" w:hAnsiTheme="minorHAnsi" w:cstheme="minorHAnsi"/>
          <w:vanish/>
        </w:rPr>
        <w:t>(2.69-mm)</w:t>
      </w:r>
      <w:r w:rsidRPr="00874D8B">
        <w:rPr>
          <w:rFonts w:asciiTheme="minorHAnsi" w:hAnsiTheme="minorHAnsi" w:cstheme="minorHAnsi"/>
        </w:rPr>
        <w:t xml:space="preserve"> diameter wire; galvanized coating thickness matching coating thickness of chain-link fence fabric.</w:t>
      </w:r>
    </w:p>
    <w:p w:rsidR="0012587A" w:rsidRPr="00F77B6F" w:rsidRDefault="0012587A" w:rsidP="00F77B6F">
      <w:pPr>
        <w:pStyle w:val="PRT"/>
      </w:pPr>
      <w:r w:rsidRPr="00F77B6F">
        <w:t>EXECUTION</w:t>
      </w:r>
    </w:p>
    <w:p w:rsidR="0012587A" w:rsidRPr="002733D9" w:rsidRDefault="0012587A" w:rsidP="002733D9">
      <w:pPr>
        <w:pStyle w:val="ART"/>
      </w:pPr>
      <w:r w:rsidRPr="002733D9">
        <w:t>PREPARATION</w:t>
      </w:r>
    </w:p>
    <w:p w:rsidR="0012587A" w:rsidRPr="00276B7B" w:rsidRDefault="0012587A" w:rsidP="00276B7B">
      <w:pPr>
        <w:pStyle w:val="PR1"/>
      </w:pPr>
      <w:r w:rsidRPr="00276B7B">
        <w:t>Protect and maintain benchmarks and survey control points from disturbance during construction.</w:t>
      </w:r>
    </w:p>
    <w:p w:rsidR="0012587A" w:rsidRPr="00276B7B" w:rsidRDefault="0012587A" w:rsidP="00276B7B">
      <w:pPr>
        <w:pStyle w:val="PR1"/>
      </w:pPr>
      <w:r w:rsidRPr="00276B7B">
        <w:t>Protect existing site improvements to remain from damage during construction.</w:t>
      </w:r>
    </w:p>
    <w:p w:rsidR="00261B0C" w:rsidRPr="00F77B6F" w:rsidRDefault="00261B0C" w:rsidP="000962CA">
      <w:pPr>
        <w:pStyle w:val="PR2"/>
        <w:spacing w:before="120"/>
        <w:rPr>
          <w:rFonts w:asciiTheme="minorHAnsi" w:hAnsiTheme="minorHAnsi"/>
        </w:rPr>
      </w:pPr>
      <w:r w:rsidRPr="00F77B6F">
        <w:rPr>
          <w:rFonts w:asciiTheme="minorHAnsi" w:hAnsiTheme="minorHAnsi"/>
        </w:rPr>
        <w:t xml:space="preserve">Verify with the Owner which objects are to be removed </w:t>
      </w:r>
      <w:r w:rsidRPr="006526F1">
        <w:rPr>
          <w:rFonts w:asciiTheme="minorHAnsi" w:hAnsiTheme="minorHAnsi" w:cstheme="minorHAnsi"/>
          <w:szCs w:val="22"/>
        </w:rPr>
        <w:t>and salvaged</w:t>
      </w:r>
      <w:r w:rsidRPr="00F77B6F">
        <w:rPr>
          <w:rFonts w:asciiTheme="minorHAnsi" w:hAnsiTheme="minorHAnsi"/>
        </w:rPr>
        <w:t xml:space="preserve"> and which objects are to be preserved in place.</w:t>
      </w:r>
    </w:p>
    <w:p w:rsidR="0012587A" w:rsidRPr="00276B7B" w:rsidRDefault="0012587A" w:rsidP="00276B7B">
      <w:pPr>
        <w:pStyle w:val="PR2"/>
      </w:pPr>
      <w:r w:rsidRPr="00276B7B">
        <w:t>Restore damaged improvements to their original condition, as acceptable to Owner.</w:t>
      </w:r>
    </w:p>
    <w:p w:rsidR="0012587A" w:rsidRPr="002733D9" w:rsidRDefault="0012587A" w:rsidP="002733D9">
      <w:pPr>
        <w:pStyle w:val="ART"/>
      </w:pPr>
      <w:r w:rsidRPr="002733D9">
        <w:t>TREE PROTECTION</w:t>
      </w:r>
    </w:p>
    <w:p w:rsidR="00BF641D" w:rsidRPr="00276B7B" w:rsidRDefault="0012587A" w:rsidP="00276B7B">
      <w:pPr>
        <w:pStyle w:val="PR1"/>
      </w:pPr>
      <w:r w:rsidRPr="00276B7B">
        <w:t xml:space="preserve">Erect and maintain temporary fencing around </w:t>
      </w:r>
      <w:r w:rsidR="004F6544">
        <w:t xml:space="preserve">drip line </w:t>
      </w:r>
      <w:r w:rsidR="002A46E7">
        <w:t xml:space="preserve">before starting site clearing. </w:t>
      </w:r>
      <w:r w:rsidRPr="00276B7B">
        <w:t>Remove fence when construction is complete.</w:t>
      </w:r>
    </w:p>
    <w:p w:rsidR="0012587A" w:rsidRPr="00276B7B" w:rsidRDefault="0012587A" w:rsidP="00276B7B">
      <w:pPr>
        <w:pStyle w:val="PR1"/>
      </w:pPr>
      <w:r w:rsidRPr="00276B7B">
        <w:t xml:space="preserve">Do not excavate within </w:t>
      </w:r>
      <w:r w:rsidR="004F6544">
        <w:t xml:space="preserve">dripline </w:t>
      </w:r>
      <w:r w:rsidRPr="00276B7B">
        <w:t>unless otherwise indicated.</w:t>
      </w:r>
    </w:p>
    <w:p w:rsidR="0012587A" w:rsidRPr="0098013F" w:rsidRDefault="0012587A" w:rsidP="00276B7B">
      <w:pPr>
        <w:pStyle w:val="PR1"/>
      </w:pPr>
      <w:r w:rsidRPr="0098013F">
        <w:t xml:space="preserve">Repair or replace trees and vegetation indicated to remain that are damaged by construction operations, in a manner approved by </w:t>
      </w:r>
      <w:r w:rsidR="00EF2DAE">
        <w:t xml:space="preserve">Landscape </w:t>
      </w:r>
      <w:r w:rsidRPr="0098013F">
        <w:t>Architect.</w:t>
      </w:r>
    </w:p>
    <w:p w:rsidR="0012587A" w:rsidRPr="002733D9" w:rsidRDefault="0012587A" w:rsidP="002733D9">
      <w:pPr>
        <w:pStyle w:val="ART"/>
      </w:pPr>
      <w:r w:rsidRPr="002733D9">
        <w:lastRenderedPageBreak/>
        <w:t>UTILITIES</w:t>
      </w:r>
    </w:p>
    <w:p w:rsidR="0012587A" w:rsidRPr="00276B7B" w:rsidRDefault="0012587A" w:rsidP="00276B7B">
      <w:pPr>
        <w:pStyle w:val="PR1"/>
      </w:pPr>
      <w:r w:rsidRPr="00276B7B">
        <w:t>Locate, identify, disconnect, and seal or cap off utilities indicated to be removed.</w:t>
      </w:r>
    </w:p>
    <w:p w:rsidR="0012587A" w:rsidRPr="00276B7B" w:rsidRDefault="0012587A" w:rsidP="00874D8B">
      <w:pPr>
        <w:pStyle w:val="PR2"/>
        <w:spacing w:before="120"/>
      </w:pPr>
      <w:r w:rsidRPr="00276B7B">
        <w:t>Arrange with utility companies to shut off indicated utilities.</w:t>
      </w:r>
    </w:p>
    <w:p w:rsidR="0012587A" w:rsidRPr="00276B7B" w:rsidRDefault="0012587A" w:rsidP="00276B7B">
      <w:pPr>
        <w:pStyle w:val="PR1"/>
      </w:pPr>
      <w:r w:rsidRPr="00276B7B">
        <w:t>Existi</w:t>
      </w:r>
      <w:r w:rsidR="00822627">
        <w:t xml:space="preserve">ng Utilities: </w:t>
      </w:r>
      <w:r w:rsidRPr="00276B7B">
        <w:t>Do not interrupt utilities serving facilities occupied by Owner or others unless permitted under the following conditions and then only after arranging to provide temporary utility services according to requirements indicated:</w:t>
      </w:r>
    </w:p>
    <w:p w:rsidR="0012587A" w:rsidRPr="00276B7B" w:rsidRDefault="0012587A" w:rsidP="00F77B6F">
      <w:pPr>
        <w:pStyle w:val="PR2"/>
        <w:spacing w:before="120"/>
      </w:pPr>
      <w:r w:rsidRPr="00276B7B">
        <w:t>Notify</w:t>
      </w:r>
      <w:r w:rsidR="00356B41" w:rsidRPr="00276B7B">
        <w:t xml:space="preserve"> </w:t>
      </w:r>
      <w:r w:rsidR="007224CD" w:rsidRPr="00276B7B">
        <w:t>Owner’s Representative</w:t>
      </w:r>
      <w:r w:rsidR="00356B41" w:rsidRPr="00276B7B">
        <w:t xml:space="preserve"> n</w:t>
      </w:r>
      <w:r w:rsidRPr="00276B7B">
        <w:t xml:space="preserve">ot less than </w:t>
      </w:r>
      <w:r w:rsidR="0071237A" w:rsidRPr="00276B7B">
        <w:t>two weeks</w:t>
      </w:r>
      <w:r w:rsidRPr="00276B7B">
        <w:t xml:space="preserve"> in advance of proposed utility interruptions</w:t>
      </w:r>
      <w:r w:rsidR="0071237A" w:rsidRPr="00276B7B">
        <w:t xml:space="preserve"> to allow conformance with Utility Department Outage Notification protocols</w:t>
      </w:r>
      <w:r w:rsidRPr="00276B7B">
        <w:t>.</w:t>
      </w:r>
    </w:p>
    <w:p w:rsidR="0012587A" w:rsidRPr="00276B7B" w:rsidRDefault="0012587A" w:rsidP="00276B7B">
      <w:pPr>
        <w:pStyle w:val="PR2"/>
      </w:pPr>
      <w:r w:rsidRPr="00276B7B">
        <w:t xml:space="preserve">Do not proceed with utility interruptions without </w:t>
      </w:r>
      <w:r w:rsidR="007224CD" w:rsidRPr="00276B7B">
        <w:t xml:space="preserve">Owner’s </w:t>
      </w:r>
      <w:r w:rsidRPr="00276B7B">
        <w:t>written permission.</w:t>
      </w:r>
    </w:p>
    <w:p w:rsidR="0012587A" w:rsidRPr="002733D9" w:rsidRDefault="00290F72" w:rsidP="002733D9">
      <w:pPr>
        <w:pStyle w:val="ART"/>
      </w:pPr>
      <w:r w:rsidRPr="002733D9">
        <w:t xml:space="preserve">EXISTING WEED AND GRASS </w:t>
      </w:r>
      <w:r w:rsidR="0012587A" w:rsidRPr="002733D9">
        <w:t>STRIPPING</w:t>
      </w:r>
    </w:p>
    <w:p w:rsidR="0012587A" w:rsidRDefault="00290F72" w:rsidP="00276B7B">
      <w:pPr>
        <w:pStyle w:val="PR1"/>
      </w:pPr>
      <w:r w:rsidRPr="00276B7B">
        <w:t>Strip area with</w:t>
      </w:r>
      <w:r w:rsidR="00E43EBA">
        <w:t>in</w:t>
      </w:r>
      <w:r w:rsidRPr="00276B7B">
        <w:t xml:space="preserve"> work limits shown on Drawings of lawns and vegetation under the direction of the Landscape Architect.</w:t>
      </w:r>
    </w:p>
    <w:p w:rsidR="000962CA" w:rsidRPr="000962CA" w:rsidRDefault="000962CA" w:rsidP="000962CA">
      <w:pPr>
        <w:pStyle w:val="PR2"/>
        <w:spacing w:before="120"/>
        <w:rPr>
          <w:szCs w:val="22"/>
        </w:rPr>
      </w:pPr>
      <w:r w:rsidRPr="000962CA">
        <w:rPr>
          <w:rFonts w:cs="Calibri"/>
          <w:szCs w:val="22"/>
        </w:rPr>
        <w:t>Strip soil to depths and in such a manner to prevent intermingling with underlying subsoil or other objectionable material.</w:t>
      </w:r>
    </w:p>
    <w:p w:rsidR="000962CA" w:rsidRPr="000962CA" w:rsidRDefault="000962CA" w:rsidP="000962CA">
      <w:pPr>
        <w:pStyle w:val="PR2"/>
      </w:pPr>
      <w:r w:rsidRPr="000962CA">
        <w:t>Remove heavy growths of vegetation from areas before stripping soil.</w:t>
      </w:r>
    </w:p>
    <w:p w:rsidR="000962CA" w:rsidRPr="000962CA" w:rsidRDefault="000962CA" w:rsidP="000962CA">
      <w:pPr>
        <w:pStyle w:val="PR2"/>
      </w:pPr>
      <w:r w:rsidRPr="000962CA">
        <w:t xml:space="preserve">Where trees are indicated to remain, stop topsoil stripping a sufficient distance from </w:t>
      </w:r>
      <w:r w:rsidR="004F6544">
        <w:t>dripline</w:t>
      </w:r>
      <w:r w:rsidRPr="000962CA">
        <w:t xml:space="preserve"> to prevent damage to main root system.</w:t>
      </w:r>
    </w:p>
    <w:p w:rsidR="000962CA" w:rsidRPr="000962CA" w:rsidRDefault="000962CA" w:rsidP="000962CA">
      <w:pPr>
        <w:pStyle w:val="PR2"/>
      </w:pPr>
      <w:r w:rsidRPr="000962CA">
        <w:t>Stock pile topsoil where directed.</w:t>
      </w:r>
    </w:p>
    <w:p w:rsidR="000962CA" w:rsidRPr="000962CA" w:rsidRDefault="000962CA" w:rsidP="000962CA">
      <w:pPr>
        <w:pStyle w:val="PR3"/>
        <w:spacing w:before="120"/>
        <w:rPr>
          <w:szCs w:val="22"/>
        </w:rPr>
      </w:pPr>
      <w:r w:rsidRPr="000962CA">
        <w:rPr>
          <w:rFonts w:cs="Calibri"/>
          <w:szCs w:val="22"/>
        </w:rPr>
        <w:t>Construction storage piles to freely drain surface water</w:t>
      </w:r>
      <w:r w:rsidR="004F6544">
        <w:rPr>
          <w:rFonts w:cs="Calibri"/>
          <w:szCs w:val="22"/>
        </w:rPr>
        <w:t xml:space="preserve"> but not onto adjacent properties.</w:t>
      </w:r>
    </w:p>
    <w:p w:rsidR="000962CA" w:rsidRPr="000962CA" w:rsidRDefault="000962CA" w:rsidP="000962CA">
      <w:pPr>
        <w:pStyle w:val="PR3"/>
        <w:rPr>
          <w:szCs w:val="22"/>
        </w:rPr>
      </w:pPr>
      <w:r w:rsidRPr="000962CA">
        <w:rPr>
          <w:rFonts w:cs="Calibri"/>
          <w:szCs w:val="22"/>
        </w:rPr>
        <w:t>Cover storage piles if required to prevent windblown dust</w:t>
      </w:r>
    </w:p>
    <w:p w:rsidR="00290F72" w:rsidRPr="00276B7B" w:rsidRDefault="00290F72" w:rsidP="00276B7B">
      <w:pPr>
        <w:pStyle w:val="PR1"/>
      </w:pPr>
      <w:r w:rsidRPr="00276B7B">
        <w:t>Method of removal shall remove a minimum amount of topsoil and shall be even so that there is not a general change to overall grading.</w:t>
      </w:r>
    </w:p>
    <w:p w:rsidR="00272B68" w:rsidRDefault="00272B68" w:rsidP="002733D9">
      <w:pPr>
        <w:pStyle w:val="ART"/>
      </w:pPr>
      <w:r>
        <w:t>CLEARING AND GRUBBING</w:t>
      </w:r>
    </w:p>
    <w:p w:rsidR="0042638D" w:rsidRPr="0042638D" w:rsidRDefault="00E97025" w:rsidP="0042638D">
      <w:pPr>
        <w:pStyle w:val="PR1"/>
      </w:pPr>
      <w:r>
        <w:t>Comply with requirements of Division 31 Section “Clearing and Grubbing.”</w:t>
      </w:r>
    </w:p>
    <w:p w:rsidR="00AF16FF" w:rsidRDefault="00AF16FF" w:rsidP="002733D9">
      <w:pPr>
        <w:pStyle w:val="ART"/>
      </w:pPr>
      <w:r>
        <w:t>PROTECTION</w:t>
      </w:r>
    </w:p>
    <w:p w:rsidR="00AF16FF" w:rsidRDefault="00AF16FF" w:rsidP="00AF16FF">
      <w:pPr>
        <w:pStyle w:val="PR1"/>
      </w:pPr>
      <w:r>
        <w:t>Protect prepared areas from additional compaction, disturbance, and contamination. Prohibit the following practices within these areas except as required to perform planting operations:</w:t>
      </w:r>
    </w:p>
    <w:p w:rsidR="00AF16FF" w:rsidRDefault="00AF16FF" w:rsidP="00AF16FF">
      <w:pPr>
        <w:pStyle w:val="PR2"/>
        <w:spacing w:before="120"/>
      </w:pPr>
      <w:r>
        <w:t>Storage of construction materials, debris, or excavated material.</w:t>
      </w:r>
    </w:p>
    <w:p w:rsidR="00AF16FF" w:rsidRDefault="00AF16FF" w:rsidP="00AF16FF">
      <w:pPr>
        <w:pStyle w:val="PR2"/>
      </w:pPr>
      <w:r>
        <w:t>Parking vehicles or equipment.</w:t>
      </w:r>
    </w:p>
    <w:p w:rsidR="00AF16FF" w:rsidRDefault="00AF16FF" w:rsidP="00AF16FF">
      <w:pPr>
        <w:pStyle w:val="PR2"/>
      </w:pPr>
      <w:r>
        <w:t>Foot traffic.</w:t>
      </w:r>
    </w:p>
    <w:p w:rsidR="00AF16FF" w:rsidRDefault="00E43EBA" w:rsidP="00AF16FF">
      <w:pPr>
        <w:pStyle w:val="PR2"/>
      </w:pPr>
      <w:r>
        <w:t>Erection of sheds or structures or picnic tables.</w:t>
      </w:r>
    </w:p>
    <w:p w:rsidR="00AF16FF" w:rsidRDefault="00AF16FF" w:rsidP="00AF16FF">
      <w:pPr>
        <w:pStyle w:val="PR2"/>
      </w:pPr>
      <w:r>
        <w:lastRenderedPageBreak/>
        <w:t>Excavation or other digging unless otherwise indicated.</w:t>
      </w:r>
    </w:p>
    <w:p w:rsidR="00AF16FF" w:rsidRPr="00AF16FF" w:rsidRDefault="00AF16FF" w:rsidP="00AF16FF">
      <w:pPr>
        <w:pStyle w:val="PR2"/>
      </w:pPr>
      <w:r>
        <w:t>Impoundment of water.</w:t>
      </w:r>
    </w:p>
    <w:p w:rsidR="0012587A" w:rsidRPr="002733D9" w:rsidRDefault="00AF16FF" w:rsidP="002733D9">
      <w:pPr>
        <w:pStyle w:val="ART"/>
      </w:pPr>
      <w:r>
        <w:t xml:space="preserve">CLEANING AND </w:t>
      </w:r>
      <w:r w:rsidR="0012587A" w:rsidRPr="002733D9">
        <w:t>DISPOSAL</w:t>
      </w:r>
    </w:p>
    <w:p w:rsidR="00AF16FF" w:rsidRDefault="00AF16FF" w:rsidP="00276B7B">
      <w:pPr>
        <w:pStyle w:val="PR1"/>
      </w:pPr>
      <w:r>
        <w:t>Keep adjacent paving and construction clean and work area in an orderly condition.</w:t>
      </w:r>
    </w:p>
    <w:p w:rsidR="0012587A" w:rsidRPr="00276B7B" w:rsidRDefault="00822627" w:rsidP="00276B7B">
      <w:pPr>
        <w:pStyle w:val="PR1"/>
      </w:pPr>
      <w:r>
        <w:t>Disposal:</w:t>
      </w:r>
      <w:r w:rsidR="0012587A" w:rsidRPr="00276B7B">
        <w:t xml:space="preserve"> Remove surplus soil material, unsuitable topsoil, obstructions, demolished materials, and waste materials including trash and debris, and legally dispose of them off Owner's property.</w:t>
      </w:r>
    </w:p>
    <w:p w:rsidR="0012587A" w:rsidRPr="00276B7B" w:rsidRDefault="0012587A" w:rsidP="00272B68">
      <w:pPr>
        <w:pStyle w:val="PR2"/>
        <w:spacing w:before="120"/>
      </w:pPr>
      <w:r w:rsidRPr="00276B7B">
        <w:t xml:space="preserve">Separate recyclable materials produced during site clearing from </w:t>
      </w:r>
      <w:r w:rsidR="00822627">
        <w:t xml:space="preserve">other nonrecyclable materials. </w:t>
      </w:r>
      <w:r w:rsidRPr="00276B7B">
        <w:t>Store or stockpile without intermixing with other materials and transport them to recycling facilities.</w:t>
      </w:r>
    </w:p>
    <w:p w:rsidR="0012587A" w:rsidRPr="00BD1EDF" w:rsidRDefault="00FD3E6E" w:rsidP="00BD1EDF">
      <w:pPr>
        <w:pStyle w:val="EOS"/>
      </w:pPr>
      <w:bookmarkStart w:id="11" w:name="_Hlk14952515"/>
      <w:r w:rsidRPr="00965159">
        <w:t>END OF SECTION 31</w:t>
      </w:r>
      <w:r w:rsidR="002733D9">
        <w:t> </w:t>
      </w:r>
      <w:r w:rsidRPr="00965159">
        <w:t>1013</w:t>
      </w:r>
      <w:bookmarkEnd w:id="11"/>
    </w:p>
    <w:sectPr w:rsidR="0012587A" w:rsidRPr="00BD1EDF" w:rsidSect="00FA5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2240" w:h="15840"/>
      <w:pgMar w:top="1980" w:right="1440" w:bottom="1710" w:left="1440" w:header="720" w:footer="3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93" w:rsidRDefault="00E45993">
      <w:r>
        <w:separator/>
      </w:r>
    </w:p>
  </w:endnote>
  <w:endnote w:type="continuationSeparator" w:id="0">
    <w:p w:rsidR="00E45993" w:rsidRDefault="00E4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D9" w:rsidRDefault="00585A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7B" w:rsidRPr="003F1DC5" w:rsidRDefault="00276B7B" w:rsidP="003F1DC5">
    <w:pPr>
      <w:pStyle w:val="Footer"/>
      <w:rPr>
        <w:rFonts w:cs="Calibri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08"/>
      <w:gridCol w:w="436"/>
      <w:gridCol w:w="3429"/>
      <w:gridCol w:w="523"/>
      <w:gridCol w:w="1964"/>
    </w:tblGrid>
    <w:tr w:rsidR="00276B7B" w:rsidRPr="00276B7B" w:rsidTr="006E40E9">
      <w:tc>
        <w:tcPr>
          <w:tcW w:w="3078" w:type="dxa"/>
          <w:shd w:val="clear" w:color="auto" w:fill="auto"/>
        </w:tcPr>
        <w:p w:rsidR="00276B7B" w:rsidRPr="00276B7B" w:rsidRDefault="00276B7B" w:rsidP="00276B7B">
          <w:pPr>
            <w:pStyle w:val="Footer"/>
            <w:rPr>
              <w:rFonts w:cs="Calibri"/>
              <w:szCs w:val="22"/>
            </w:rPr>
          </w:pPr>
          <w:r w:rsidRPr="00276B7B">
            <w:rPr>
              <w:rFonts w:cs="Calibri"/>
              <w:szCs w:val="22"/>
            </w:rPr>
            <w:t>&lt;Insert A/E Name&gt;</w:t>
          </w:r>
        </w:p>
      </w:tc>
      <w:tc>
        <w:tcPr>
          <w:tcW w:w="4500" w:type="dxa"/>
          <w:gridSpan w:val="3"/>
          <w:shd w:val="clear" w:color="auto" w:fill="auto"/>
        </w:tcPr>
        <w:p w:rsidR="00276B7B" w:rsidRPr="00E43EBA" w:rsidRDefault="00276B7B" w:rsidP="00276B7B">
          <w:pPr>
            <w:pStyle w:val="Footer"/>
            <w:jc w:val="center"/>
            <w:rPr>
              <w:rFonts w:cs="Calibri"/>
              <w:b/>
              <w:szCs w:val="22"/>
            </w:rPr>
          </w:pPr>
          <w:r w:rsidRPr="00E43EBA">
            <w:rPr>
              <w:rFonts w:cs="Calibri"/>
              <w:b/>
              <w:szCs w:val="22"/>
            </w:rPr>
            <w:t>Site Preparation</w:t>
          </w:r>
        </w:p>
      </w:tc>
      <w:tc>
        <w:tcPr>
          <w:tcW w:w="1998" w:type="dxa"/>
          <w:shd w:val="clear" w:color="auto" w:fill="auto"/>
        </w:tcPr>
        <w:p w:rsidR="00276B7B" w:rsidRPr="00276B7B" w:rsidRDefault="00276B7B" w:rsidP="00276B7B">
          <w:pPr>
            <w:pStyle w:val="Footer"/>
            <w:jc w:val="right"/>
            <w:rPr>
              <w:rFonts w:cs="Calibri"/>
              <w:szCs w:val="22"/>
            </w:rPr>
          </w:pPr>
          <w:r w:rsidRPr="00276B7B">
            <w:rPr>
              <w:rFonts w:cs="Calibri"/>
              <w:szCs w:val="22"/>
            </w:rPr>
            <w:t>31 1</w:t>
          </w:r>
          <w:r w:rsidR="002733D9">
            <w:rPr>
              <w:rFonts w:cs="Calibri"/>
              <w:szCs w:val="22"/>
            </w:rPr>
            <w:t>013</w:t>
          </w:r>
          <w:r w:rsidRPr="00276B7B">
            <w:rPr>
              <w:rFonts w:cs="Calibri"/>
              <w:szCs w:val="22"/>
            </w:rPr>
            <w:t xml:space="preserve"> - </w:t>
          </w:r>
          <w:r w:rsidRPr="00276B7B">
            <w:rPr>
              <w:rFonts w:cs="Calibri"/>
              <w:szCs w:val="22"/>
            </w:rPr>
            <w:fldChar w:fldCharType="begin"/>
          </w:r>
          <w:r w:rsidRPr="00276B7B">
            <w:rPr>
              <w:rFonts w:cs="Calibri"/>
              <w:szCs w:val="22"/>
            </w:rPr>
            <w:instrText xml:space="preserve"> PAGE  \* MERGEFORMAT </w:instrText>
          </w:r>
          <w:r w:rsidRPr="00276B7B">
            <w:rPr>
              <w:rFonts w:cs="Calibri"/>
              <w:szCs w:val="22"/>
            </w:rPr>
            <w:fldChar w:fldCharType="separate"/>
          </w:r>
          <w:r w:rsidR="00585AD9">
            <w:rPr>
              <w:rFonts w:cs="Calibri"/>
              <w:noProof/>
              <w:szCs w:val="22"/>
            </w:rPr>
            <w:t>5</w:t>
          </w:r>
          <w:r w:rsidRPr="00276B7B">
            <w:rPr>
              <w:rFonts w:cs="Calibri"/>
              <w:szCs w:val="22"/>
            </w:rPr>
            <w:fldChar w:fldCharType="end"/>
          </w:r>
        </w:p>
      </w:tc>
    </w:tr>
    <w:tr w:rsidR="00276B7B" w:rsidRPr="00276B7B" w:rsidTr="006E40E9">
      <w:tc>
        <w:tcPr>
          <w:tcW w:w="3528" w:type="dxa"/>
          <w:gridSpan w:val="2"/>
          <w:shd w:val="clear" w:color="auto" w:fill="auto"/>
        </w:tcPr>
        <w:p w:rsidR="00276B7B" w:rsidRPr="00276B7B" w:rsidRDefault="00276B7B" w:rsidP="00276B7B">
          <w:pPr>
            <w:pStyle w:val="Footer"/>
            <w:rPr>
              <w:rFonts w:cs="Calibri"/>
              <w:szCs w:val="22"/>
            </w:rPr>
          </w:pPr>
          <w:r w:rsidRPr="00276B7B">
            <w:rPr>
              <w:rFonts w:cs="Calibri"/>
              <w:szCs w:val="22"/>
            </w:rPr>
            <w:t>AE Project #: &lt;Insert Project Number&gt;</w:t>
          </w:r>
        </w:p>
      </w:tc>
      <w:tc>
        <w:tcPr>
          <w:tcW w:w="3510" w:type="dxa"/>
          <w:shd w:val="clear" w:color="auto" w:fill="auto"/>
        </w:tcPr>
        <w:p w:rsidR="00276B7B" w:rsidRPr="00E43EBA" w:rsidRDefault="00276B7B" w:rsidP="00276B7B">
          <w:pPr>
            <w:pStyle w:val="Footer"/>
            <w:jc w:val="center"/>
            <w:rPr>
              <w:rFonts w:cs="Calibri"/>
              <w:b/>
              <w:szCs w:val="22"/>
            </w:rPr>
          </w:pPr>
          <w:r w:rsidRPr="00E43EBA">
            <w:rPr>
              <w:rFonts w:cs="Calibri"/>
              <w:b/>
              <w:szCs w:val="22"/>
            </w:rPr>
            <w:t xml:space="preserve">UH Master: </w:t>
          </w:r>
          <w:r w:rsidR="00E43EBA">
            <w:rPr>
              <w:rFonts w:cs="Calibri"/>
              <w:b/>
              <w:szCs w:val="22"/>
            </w:rPr>
            <w:t>02.</w:t>
          </w:r>
          <w:r w:rsidR="00585AD9">
            <w:rPr>
              <w:rFonts w:cs="Calibri"/>
              <w:b/>
              <w:szCs w:val="22"/>
            </w:rPr>
            <w:t>2020</w:t>
          </w:r>
          <w:bookmarkStart w:id="13" w:name="_GoBack"/>
          <w:bookmarkEnd w:id="13"/>
        </w:p>
      </w:tc>
      <w:tc>
        <w:tcPr>
          <w:tcW w:w="2538" w:type="dxa"/>
          <w:gridSpan w:val="2"/>
          <w:shd w:val="clear" w:color="auto" w:fill="auto"/>
        </w:tcPr>
        <w:p w:rsidR="00276B7B" w:rsidRPr="00276B7B" w:rsidRDefault="00276B7B" w:rsidP="00276B7B">
          <w:pPr>
            <w:pStyle w:val="Footer"/>
            <w:jc w:val="right"/>
            <w:rPr>
              <w:rFonts w:cs="Calibri"/>
              <w:szCs w:val="22"/>
            </w:rPr>
          </w:pPr>
        </w:p>
      </w:tc>
    </w:tr>
  </w:tbl>
  <w:p w:rsidR="00827A92" w:rsidRPr="003F1DC5" w:rsidRDefault="00827A92" w:rsidP="003F1DC5">
    <w:pPr>
      <w:pStyle w:val="Footer"/>
      <w:rPr>
        <w:rFonts w:cs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D9" w:rsidRDefault="00585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93" w:rsidRDefault="00E45993">
      <w:r>
        <w:separator/>
      </w:r>
    </w:p>
  </w:footnote>
  <w:footnote w:type="continuationSeparator" w:id="0">
    <w:p w:rsidR="00E45993" w:rsidRDefault="00E4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D9" w:rsidRDefault="00585A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DD" w:rsidRPr="003F1DC5" w:rsidDel="003D3DDD" w:rsidRDefault="003D3DDD" w:rsidP="003F1DC5">
    <w:pPr>
      <w:pStyle w:val="Header"/>
      <w:rPr>
        <w:rFonts w:cs="Calibri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55"/>
      <w:gridCol w:w="4505"/>
    </w:tblGrid>
    <w:tr w:rsidR="00EF2DAE" w:rsidRPr="007E7AF2" w:rsidTr="00473D74">
      <w:tc>
        <w:tcPr>
          <w:tcW w:w="9576" w:type="dxa"/>
          <w:gridSpan w:val="2"/>
          <w:shd w:val="clear" w:color="auto" w:fill="auto"/>
        </w:tcPr>
        <w:p w:rsidR="00EF2DAE" w:rsidRPr="00E43EBA" w:rsidRDefault="00EF2DAE" w:rsidP="00EF2DAE">
          <w:pPr>
            <w:pStyle w:val="Header"/>
            <w:tabs>
              <w:tab w:val="center" w:pos="4860"/>
            </w:tabs>
            <w:jc w:val="center"/>
            <w:rPr>
              <w:b/>
              <w:sz w:val="20"/>
            </w:rPr>
          </w:pPr>
          <w:bookmarkStart w:id="12" w:name="_Hlk13470755"/>
          <w:r w:rsidRPr="00E43EBA">
            <w:rPr>
              <w:b/>
              <w:sz w:val="20"/>
            </w:rPr>
            <w:t>University of Houston Master Specification</w:t>
          </w:r>
        </w:p>
      </w:tc>
    </w:tr>
    <w:tr w:rsidR="00EF2DAE" w:rsidRPr="007E7AF2" w:rsidTr="00473D74">
      <w:tc>
        <w:tcPr>
          <w:tcW w:w="4968" w:type="dxa"/>
          <w:shd w:val="clear" w:color="auto" w:fill="auto"/>
        </w:tcPr>
        <w:p w:rsidR="00EF2DAE" w:rsidRPr="007E7AF2" w:rsidRDefault="00EF2DAE" w:rsidP="00EF2DAE">
          <w:pPr>
            <w:pStyle w:val="Header"/>
            <w:tabs>
              <w:tab w:val="center" w:pos="4860"/>
            </w:tabs>
            <w:rPr>
              <w:sz w:val="20"/>
            </w:rPr>
          </w:pPr>
          <w:r w:rsidRPr="007E7AF2">
            <w:rPr>
              <w:sz w:val="20"/>
            </w:rPr>
            <w:t>&lt;Insert Project Name&gt;</w:t>
          </w:r>
        </w:p>
      </w:tc>
      <w:tc>
        <w:tcPr>
          <w:tcW w:w="4608" w:type="dxa"/>
          <w:shd w:val="clear" w:color="auto" w:fill="auto"/>
        </w:tcPr>
        <w:p w:rsidR="00EF2DAE" w:rsidRPr="007E7AF2" w:rsidRDefault="00EF2DAE" w:rsidP="00EF2DAE">
          <w:pPr>
            <w:pStyle w:val="Header"/>
            <w:tabs>
              <w:tab w:val="center" w:pos="4860"/>
            </w:tabs>
            <w:jc w:val="right"/>
            <w:rPr>
              <w:sz w:val="20"/>
            </w:rPr>
          </w:pPr>
          <w:r w:rsidRPr="007E7AF2">
            <w:rPr>
              <w:sz w:val="20"/>
            </w:rPr>
            <w:t xml:space="preserve">&lt;Insert Issue </w:t>
          </w:r>
          <w:r>
            <w:rPr>
              <w:sz w:val="20"/>
            </w:rPr>
            <w:t>Name</w:t>
          </w:r>
          <w:r w:rsidRPr="007E7AF2">
            <w:rPr>
              <w:sz w:val="20"/>
            </w:rPr>
            <w:t xml:space="preserve">&gt; </w:t>
          </w:r>
        </w:p>
      </w:tc>
    </w:tr>
    <w:tr w:rsidR="00EF2DAE" w:rsidRPr="007E7AF2" w:rsidTr="00473D74">
      <w:tc>
        <w:tcPr>
          <w:tcW w:w="4968" w:type="dxa"/>
          <w:shd w:val="clear" w:color="auto" w:fill="auto"/>
        </w:tcPr>
        <w:p w:rsidR="00EF2DAE" w:rsidRPr="007E7AF2" w:rsidRDefault="00EF2DAE" w:rsidP="00EF2DAE">
          <w:pPr>
            <w:pStyle w:val="Header"/>
            <w:tabs>
              <w:tab w:val="center" w:pos="4860"/>
            </w:tabs>
            <w:rPr>
              <w:sz w:val="20"/>
            </w:rPr>
          </w:pPr>
          <w:r>
            <w:rPr>
              <w:sz w:val="20"/>
            </w:rPr>
            <w:t>&lt;Insert U of H Proj #&gt;</w:t>
          </w:r>
        </w:p>
      </w:tc>
      <w:tc>
        <w:tcPr>
          <w:tcW w:w="4608" w:type="dxa"/>
          <w:shd w:val="clear" w:color="auto" w:fill="auto"/>
        </w:tcPr>
        <w:p w:rsidR="00EF2DAE" w:rsidRPr="007E7AF2" w:rsidRDefault="00EF2DAE" w:rsidP="00EF2DAE">
          <w:pPr>
            <w:pStyle w:val="Header"/>
            <w:tabs>
              <w:tab w:val="center" w:pos="4860"/>
            </w:tabs>
            <w:jc w:val="right"/>
            <w:rPr>
              <w:sz w:val="20"/>
            </w:rPr>
          </w:pPr>
          <w:r w:rsidRPr="007E7AF2">
            <w:rPr>
              <w:sz w:val="20"/>
            </w:rPr>
            <w:t xml:space="preserve">&lt;Insert Issue </w:t>
          </w:r>
          <w:r>
            <w:rPr>
              <w:sz w:val="20"/>
            </w:rPr>
            <w:t>Date</w:t>
          </w:r>
          <w:r w:rsidRPr="007E7AF2">
            <w:rPr>
              <w:sz w:val="20"/>
            </w:rPr>
            <w:t xml:space="preserve">&gt; </w:t>
          </w:r>
        </w:p>
      </w:tc>
    </w:tr>
    <w:bookmarkEnd w:id="12"/>
  </w:tbl>
  <w:p w:rsidR="00827A92" w:rsidRDefault="00827A92" w:rsidP="007C23C9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D9" w:rsidRDefault="00585A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EE8E4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7A"/>
    <w:rsid w:val="000652AB"/>
    <w:rsid w:val="000724C4"/>
    <w:rsid w:val="000873BB"/>
    <w:rsid w:val="000962CA"/>
    <w:rsid w:val="000A2D98"/>
    <w:rsid w:val="000D36E6"/>
    <w:rsid w:val="000F1AD7"/>
    <w:rsid w:val="00101208"/>
    <w:rsid w:val="0012587A"/>
    <w:rsid w:val="00172117"/>
    <w:rsid w:val="001E51BE"/>
    <w:rsid w:val="001F22CF"/>
    <w:rsid w:val="001F3C73"/>
    <w:rsid w:val="002019C3"/>
    <w:rsid w:val="002157D1"/>
    <w:rsid w:val="00220215"/>
    <w:rsid w:val="00261B0C"/>
    <w:rsid w:val="00272B68"/>
    <w:rsid w:val="002733D9"/>
    <w:rsid w:val="00276B7B"/>
    <w:rsid w:val="00290F72"/>
    <w:rsid w:val="002A46E7"/>
    <w:rsid w:val="00300ADD"/>
    <w:rsid w:val="00326C96"/>
    <w:rsid w:val="00332DA3"/>
    <w:rsid w:val="00356B41"/>
    <w:rsid w:val="00380BA6"/>
    <w:rsid w:val="003A60C6"/>
    <w:rsid w:val="003A709C"/>
    <w:rsid w:val="003C3BC8"/>
    <w:rsid w:val="003C5E2C"/>
    <w:rsid w:val="003C62A2"/>
    <w:rsid w:val="003D3DDD"/>
    <w:rsid w:val="003E0DDB"/>
    <w:rsid w:val="003F1DC5"/>
    <w:rsid w:val="00414F1A"/>
    <w:rsid w:val="00425242"/>
    <w:rsid w:val="0042638D"/>
    <w:rsid w:val="00450561"/>
    <w:rsid w:val="004926D9"/>
    <w:rsid w:val="004A7B8F"/>
    <w:rsid w:val="004B0377"/>
    <w:rsid w:val="004F0A64"/>
    <w:rsid w:val="004F6544"/>
    <w:rsid w:val="00501BA9"/>
    <w:rsid w:val="00540EA8"/>
    <w:rsid w:val="00546CBA"/>
    <w:rsid w:val="00585AD9"/>
    <w:rsid w:val="005C4C36"/>
    <w:rsid w:val="006055B1"/>
    <w:rsid w:val="00606B43"/>
    <w:rsid w:val="006526F1"/>
    <w:rsid w:val="00692F47"/>
    <w:rsid w:val="006D096D"/>
    <w:rsid w:val="006F2440"/>
    <w:rsid w:val="0071237A"/>
    <w:rsid w:val="007224CD"/>
    <w:rsid w:val="007257B0"/>
    <w:rsid w:val="00756884"/>
    <w:rsid w:val="007C23C9"/>
    <w:rsid w:val="007C4273"/>
    <w:rsid w:val="007E3BD3"/>
    <w:rsid w:val="007F01D9"/>
    <w:rsid w:val="00822627"/>
    <w:rsid w:val="00827A92"/>
    <w:rsid w:val="00853F1E"/>
    <w:rsid w:val="00874D8B"/>
    <w:rsid w:val="00885F1C"/>
    <w:rsid w:val="008E12C4"/>
    <w:rsid w:val="008F27AE"/>
    <w:rsid w:val="00965159"/>
    <w:rsid w:val="0098013F"/>
    <w:rsid w:val="009814A1"/>
    <w:rsid w:val="009A495A"/>
    <w:rsid w:val="009C1F53"/>
    <w:rsid w:val="009D7E5E"/>
    <w:rsid w:val="00A573DA"/>
    <w:rsid w:val="00AB692F"/>
    <w:rsid w:val="00AF16FF"/>
    <w:rsid w:val="00B83295"/>
    <w:rsid w:val="00B91B66"/>
    <w:rsid w:val="00BC2030"/>
    <w:rsid w:val="00BC24F8"/>
    <w:rsid w:val="00BD1EDF"/>
    <w:rsid w:val="00BF641D"/>
    <w:rsid w:val="00C47C4D"/>
    <w:rsid w:val="00C67728"/>
    <w:rsid w:val="00CB742B"/>
    <w:rsid w:val="00CE7CFF"/>
    <w:rsid w:val="00D23D2A"/>
    <w:rsid w:val="00D87E40"/>
    <w:rsid w:val="00DA2FAC"/>
    <w:rsid w:val="00DD3605"/>
    <w:rsid w:val="00DE17EF"/>
    <w:rsid w:val="00E15AE5"/>
    <w:rsid w:val="00E43EBA"/>
    <w:rsid w:val="00E45993"/>
    <w:rsid w:val="00E97025"/>
    <w:rsid w:val="00EE5A0E"/>
    <w:rsid w:val="00EF2DAE"/>
    <w:rsid w:val="00F73854"/>
    <w:rsid w:val="00F77B6F"/>
    <w:rsid w:val="00FA1470"/>
    <w:rsid w:val="00FA4F0B"/>
    <w:rsid w:val="00FA5F0B"/>
    <w:rsid w:val="00FD3E6E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6A2082-4878-48AA-A528-3C6785F0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AE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D1EDF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BD1EDF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D1EDF"/>
    <w:pPr>
      <w:keepNext/>
      <w:numPr>
        <w:ilvl w:val="3"/>
        <w:numId w:val="1"/>
      </w:numPr>
      <w:suppressAutoHyphens/>
      <w:spacing w:before="360"/>
      <w:jc w:val="both"/>
      <w:outlineLvl w:val="1"/>
    </w:pPr>
  </w:style>
  <w:style w:type="paragraph" w:customStyle="1" w:styleId="PR1">
    <w:name w:val="PR1"/>
    <w:basedOn w:val="Normal"/>
    <w:rsid w:val="00276B7B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76B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rsid w:val="00BD1EDF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AF16FF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RJUST">
    <w:name w:val="RJUST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rsid w:val="001F3C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3C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F1DC5"/>
    <w:rPr>
      <w:sz w:val="22"/>
    </w:rPr>
  </w:style>
  <w:style w:type="character" w:customStyle="1" w:styleId="FooterChar">
    <w:name w:val="Footer Char"/>
    <w:link w:val="Footer"/>
    <w:uiPriority w:val="99"/>
    <w:rsid w:val="003F1DC5"/>
    <w:rPr>
      <w:sz w:val="22"/>
    </w:rPr>
  </w:style>
  <w:style w:type="paragraph" w:styleId="ListBullet">
    <w:name w:val="List Bullet"/>
    <w:basedOn w:val="Normal"/>
    <w:uiPriority w:val="99"/>
    <w:unhideWhenUsed/>
    <w:rsid w:val="003F1DC5"/>
    <w:pPr>
      <w:numPr>
        <w:numId w:val="2"/>
      </w:numPr>
      <w:spacing w:after="200"/>
      <w:contextualSpacing/>
    </w:pPr>
    <w:rPr>
      <w:rFonts w:eastAsia="Calibri"/>
      <w:szCs w:val="22"/>
    </w:rPr>
  </w:style>
  <w:style w:type="character" w:styleId="CommentReference">
    <w:name w:val="annotation reference"/>
    <w:rsid w:val="00853F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3F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3F1E"/>
  </w:style>
  <w:style w:type="paragraph" w:styleId="CommentSubject">
    <w:name w:val="annotation subject"/>
    <w:basedOn w:val="CommentText"/>
    <w:next w:val="CommentText"/>
    <w:link w:val="CommentSubjectChar"/>
    <w:rsid w:val="00853F1E"/>
    <w:rPr>
      <w:b/>
      <w:bCs/>
    </w:rPr>
  </w:style>
  <w:style w:type="character" w:customStyle="1" w:styleId="CommentSubjectChar">
    <w:name w:val="Comment Subject Char"/>
    <w:link w:val="CommentSubject"/>
    <w:rsid w:val="00853F1E"/>
    <w:rPr>
      <w:b/>
      <w:bCs/>
    </w:rPr>
  </w:style>
  <w:style w:type="paragraph" w:styleId="BalloonText">
    <w:name w:val="Balloon Text"/>
    <w:basedOn w:val="Normal"/>
    <w:link w:val="BalloonTextChar"/>
    <w:rsid w:val="00853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311013 - SITE PREPARATION</vt:lpstr>
    </vt:vector>
  </TitlesOfParts>
  <Company>Microsoft</Company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311013 - SITE PREPARATION</dc:title>
  <dc:subject>SITE PREPARATION</dc:subject>
  <dc:creator>hjordan</dc:creator>
  <cp:keywords/>
  <cp:lastModifiedBy>Taylor, Jim</cp:lastModifiedBy>
  <cp:revision>3</cp:revision>
  <cp:lastPrinted>2014-01-29T13:25:00Z</cp:lastPrinted>
  <dcterms:created xsi:type="dcterms:W3CDTF">2020-02-23T22:24:00Z</dcterms:created>
  <dcterms:modified xsi:type="dcterms:W3CDTF">2020-02-23T22:24:00Z</dcterms:modified>
</cp:coreProperties>
</file>