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4767D" w14:textId="32E333F4" w:rsidR="00B0605B" w:rsidRPr="00063A9B" w:rsidRDefault="000347AB" w:rsidP="007A41B9">
      <w:pPr>
        <w:pStyle w:val="Main"/>
        <w:numPr>
          <w:ilvl w:val="0"/>
          <w:numId w:val="0"/>
        </w:numPr>
        <w:rPr>
          <w:rFonts w:cs="Calibri"/>
          <w:sz w:val="22"/>
          <w:szCs w:val="22"/>
        </w:rPr>
      </w:pPr>
      <w:r w:rsidRPr="00063A9B">
        <w:rPr>
          <w:rFonts w:cs="Calibri"/>
          <w:sz w:val="22"/>
          <w:szCs w:val="22"/>
        </w:rPr>
        <w:t xml:space="preserve">SECTION </w:t>
      </w:r>
      <w:r w:rsidR="00202A30" w:rsidRPr="00063A9B">
        <w:rPr>
          <w:rFonts w:cs="Calibri"/>
          <w:sz w:val="22"/>
          <w:szCs w:val="22"/>
        </w:rPr>
        <w:t>2</w:t>
      </w:r>
      <w:r w:rsidR="00BE71D9" w:rsidRPr="00063A9B">
        <w:rPr>
          <w:rFonts w:cs="Calibri"/>
          <w:sz w:val="22"/>
          <w:szCs w:val="22"/>
        </w:rPr>
        <w:t>6 4313</w:t>
      </w:r>
      <w:r w:rsidRPr="00063A9B">
        <w:rPr>
          <w:rFonts w:cs="Calibri"/>
          <w:sz w:val="22"/>
          <w:szCs w:val="22"/>
        </w:rPr>
        <w:t xml:space="preserve"> </w:t>
      </w:r>
      <w:r w:rsidR="007A41B9" w:rsidRPr="00063A9B">
        <w:rPr>
          <w:rFonts w:cs="Calibri"/>
          <w:sz w:val="22"/>
          <w:szCs w:val="22"/>
        </w:rPr>
        <w:t xml:space="preserve">- </w:t>
      </w:r>
      <w:r w:rsidRPr="00063A9B">
        <w:rPr>
          <w:rFonts w:cs="Calibri"/>
          <w:sz w:val="22"/>
          <w:szCs w:val="22"/>
        </w:rPr>
        <w:t xml:space="preserve">TRANSIENT VOLTAGE SURGE </w:t>
      </w:r>
      <w:r w:rsidR="00BE71D9" w:rsidRPr="00063A9B">
        <w:rPr>
          <w:rFonts w:cs="Calibri"/>
          <w:sz w:val="22"/>
          <w:szCs w:val="22"/>
        </w:rPr>
        <w:t>PROTECTION DEVICES</w:t>
      </w:r>
    </w:p>
    <w:p w14:paraId="7E29FB1E" w14:textId="77777777" w:rsidR="004C19B9" w:rsidRDefault="004C19B9" w:rsidP="004C19B9">
      <w:pPr>
        <w:pStyle w:val="CMT"/>
        <w:rPr>
          <w:rFonts w:asciiTheme="minorHAnsi" w:hAnsiTheme="minorHAnsi" w:cstheme="minorHAnsi"/>
        </w:rPr>
      </w:pPr>
      <w:bookmarkStart w:id="0" w:name="_Hlk14435995"/>
      <w:r>
        <w:rPr>
          <w:rFonts w:asciiTheme="minorHAnsi" w:hAnsiTheme="minorHAnsi" w:cstheme="minorHAnsi"/>
        </w:rPr>
        <w:t>Maintain Section format, including the UH master spec designation and version date in bold in the center columns of the header and footer.  Complete the header and footer with Project information.</w:t>
      </w:r>
    </w:p>
    <w:p w14:paraId="0EEFF7D6" w14:textId="77777777" w:rsidR="00494573" w:rsidRPr="001973D7" w:rsidRDefault="00494573" w:rsidP="00494573">
      <w:pPr>
        <w:pStyle w:val="CMT"/>
        <w:rPr>
          <w:vanish w:val="0"/>
        </w:rPr>
      </w:pPr>
      <w:r w:rsidRPr="001973D7">
        <w:t>Revise this Section by deleting and inserting text to meet Project-specific requirements.</w:t>
      </w:r>
    </w:p>
    <w:p w14:paraId="2703744E" w14:textId="436F215C" w:rsidR="00494573" w:rsidRPr="001973D7" w:rsidRDefault="00494573" w:rsidP="00494573">
      <w:pPr>
        <w:pStyle w:val="CMT"/>
        <w:rPr>
          <w:vanish w:val="0"/>
        </w:rPr>
      </w:pPr>
      <w:r w:rsidRPr="001973D7">
        <w:t>This Section uses the term "</w:t>
      </w:r>
      <w:r w:rsidR="00561E58">
        <w:t>Engineer</w:t>
      </w:r>
      <w:r w:rsidRPr="001973D7">
        <w:t>." Change this term to match that used to identify the design professional as defined in the General and Supplementary Conditions.</w:t>
      </w:r>
    </w:p>
    <w:p w14:paraId="4A91AA94" w14:textId="77777777" w:rsidR="00494573" w:rsidRPr="001973D7" w:rsidRDefault="00494573" w:rsidP="00494573">
      <w:pPr>
        <w:pStyle w:val="CMT"/>
        <w:rPr>
          <w:vanish w:val="0"/>
        </w:rPr>
      </w:pPr>
      <w:r w:rsidRPr="001973D7">
        <w:t>Verify that Section titles referenced in this Section are correct for this Project's Specifications; Section titles may have changed.</w:t>
      </w:r>
    </w:p>
    <w:p w14:paraId="5149CC3A" w14:textId="77777777" w:rsidR="00494573" w:rsidRPr="001973D7" w:rsidRDefault="00494573" w:rsidP="00494573">
      <w:pPr>
        <w:pStyle w:val="CMT"/>
        <w:rPr>
          <w:vanish w:val="0"/>
        </w:rPr>
      </w:pPr>
      <w:r w:rsidRPr="001973D7">
        <w:t>Delete hidden text after this Section has been edited for the Project.</w:t>
      </w:r>
      <w:bookmarkEnd w:id="0"/>
    </w:p>
    <w:p w14:paraId="56126516" w14:textId="77777777" w:rsidR="00B0605B" w:rsidRPr="00561E58" w:rsidRDefault="000347AB" w:rsidP="007A41B9">
      <w:pPr>
        <w:pStyle w:val="Main"/>
        <w:numPr>
          <w:ilvl w:val="0"/>
          <w:numId w:val="0"/>
        </w:numPr>
        <w:rPr>
          <w:rFonts w:cs="Calibri"/>
          <w:sz w:val="22"/>
          <w:szCs w:val="22"/>
        </w:rPr>
      </w:pPr>
      <w:r w:rsidRPr="00561E58">
        <w:rPr>
          <w:rFonts w:cs="Calibri"/>
          <w:sz w:val="22"/>
          <w:szCs w:val="22"/>
        </w:rPr>
        <w:t>PART 1 - GENERAL</w:t>
      </w:r>
    </w:p>
    <w:p w14:paraId="1ABCE85E" w14:textId="5D37C3C3" w:rsidR="000347AB" w:rsidRPr="007A41B9" w:rsidRDefault="000347AB" w:rsidP="000347AB">
      <w:pPr>
        <w:pStyle w:val="Heading1"/>
        <w:rPr>
          <w:rFonts w:cs="Calibri"/>
          <w:sz w:val="22"/>
          <w:szCs w:val="22"/>
        </w:rPr>
      </w:pPr>
      <w:r w:rsidRPr="007A41B9">
        <w:rPr>
          <w:rFonts w:cs="Calibri"/>
          <w:sz w:val="22"/>
          <w:szCs w:val="22"/>
        </w:rPr>
        <w:t>RELATED DOCUMENTS</w:t>
      </w:r>
    </w:p>
    <w:p w14:paraId="5D6BF85E" w14:textId="77777777" w:rsidR="00B8620A" w:rsidRPr="009F4DB2" w:rsidRDefault="00B8620A" w:rsidP="00B8620A">
      <w:pPr>
        <w:pStyle w:val="PR1"/>
        <w:tabs>
          <w:tab w:val="clear" w:pos="864"/>
          <w:tab w:val="left" w:pos="1260"/>
        </w:tabs>
        <w:ind w:left="1260" w:hanging="540"/>
        <w:rPr>
          <w:szCs w:val="22"/>
        </w:rPr>
      </w:pPr>
      <w:bookmarkStart w:id="1" w:name="_Hlk19522604"/>
      <w:r w:rsidRPr="009F4DB2">
        <w:rPr>
          <w:szCs w:val="22"/>
        </w:rPr>
        <w:t>Drawings and general provisions of the Contract, including General and Supplementary Conditions and Division 01 Specification Sections, apply to this Section.</w:t>
      </w:r>
      <w:bookmarkEnd w:id="1"/>
    </w:p>
    <w:p w14:paraId="12241E65" w14:textId="77777777" w:rsidR="00B8620A" w:rsidRPr="009F4DB2" w:rsidRDefault="00B8620A" w:rsidP="00B8620A">
      <w:pPr>
        <w:pStyle w:val="PR1"/>
        <w:tabs>
          <w:tab w:val="clear" w:pos="864"/>
          <w:tab w:val="left" w:pos="1260"/>
        </w:tabs>
        <w:ind w:left="1260" w:hanging="540"/>
        <w:rPr>
          <w:szCs w:val="22"/>
        </w:rPr>
      </w:pPr>
      <w:bookmarkStart w:id="2" w:name="_Hlk19522613"/>
      <w:r w:rsidRPr="009F4DB2">
        <w:rPr>
          <w:szCs w:val="22"/>
        </w:rPr>
        <w:t>The Contractor's attention is specifically directed, but not limited, to the following documents for additional requirements:</w:t>
      </w:r>
      <w:bookmarkEnd w:id="2"/>
    </w:p>
    <w:p w14:paraId="0EAEBFEB" w14:textId="77777777" w:rsidR="00B8620A" w:rsidRPr="009F4DB2" w:rsidRDefault="00B8620A" w:rsidP="00B8620A">
      <w:pPr>
        <w:pStyle w:val="PR2Before6pt"/>
        <w:tabs>
          <w:tab w:val="clear" w:pos="1440"/>
          <w:tab w:val="left" w:pos="1710"/>
        </w:tabs>
        <w:ind w:left="1710" w:hanging="450"/>
        <w:rPr>
          <w:szCs w:val="22"/>
        </w:rPr>
      </w:pPr>
      <w:bookmarkStart w:id="3" w:name="_Hlk19522630"/>
      <w:r w:rsidRPr="009F4DB2">
        <w:rPr>
          <w:szCs w:val="22"/>
        </w:rPr>
        <w:t xml:space="preserve">The current version of the </w:t>
      </w:r>
      <w:r w:rsidRPr="009F4DB2">
        <w:rPr>
          <w:i/>
          <w:szCs w:val="22"/>
        </w:rPr>
        <w:t>Uniform General Conditions for Construction Contracts</w:t>
      </w:r>
      <w:r w:rsidRPr="009F4DB2">
        <w:rPr>
          <w:szCs w:val="22"/>
        </w:rPr>
        <w:t>, State of Texas, available on the web site of the Texas Facilities Commission.</w:t>
      </w:r>
      <w:bookmarkEnd w:id="3"/>
    </w:p>
    <w:p w14:paraId="610548D3" w14:textId="77777777" w:rsidR="00B8620A" w:rsidRPr="009F4DB2" w:rsidRDefault="00B8620A" w:rsidP="00B8620A">
      <w:pPr>
        <w:pStyle w:val="PR2"/>
        <w:tabs>
          <w:tab w:val="clear" w:pos="1440"/>
          <w:tab w:val="left" w:pos="1710"/>
        </w:tabs>
        <w:ind w:left="1710" w:hanging="450"/>
        <w:rPr>
          <w:szCs w:val="22"/>
        </w:rPr>
      </w:pPr>
      <w:bookmarkStart w:id="4" w:name="_Hlk19522638"/>
      <w:r w:rsidRPr="009F4DB2">
        <w:rPr>
          <w:szCs w:val="22"/>
        </w:rPr>
        <w:t xml:space="preserve">The University of Houston’s </w:t>
      </w:r>
      <w:r w:rsidRPr="009F4DB2">
        <w:rPr>
          <w:i/>
          <w:szCs w:val="22"/>
        </w:rPr>
        <w:t>Supplemental General Conditions and Special Conditions for Construction.</w:t>
      </w:r>
      <w:bookmarkEnd w:id="4"/>
    </w:p>
    <w:p w14:paraId="7CFC4586" w14:textId="34E7E696" w:rsidR="00B0605B" w:rsidRPr="007A41B9" w:rsidRDefault="000347AB">
      <w:pPr>
        <w:pStyle w:val="Heading1"/>
        <w:rPr>
          <w:rFonts w:cs="Calibri"/>
          <w:sz w:val="22"/>
          <w:szCs w:val="22"/>
        </w:rPr>
      </w:pPr>
      <w:r w:rsidRPr="007A41B9">
        <w:rPr>
          <w:rFonts w:cs="Calibri"/>
          <w:sz w:val="22"/>
          <w:szCs w:val="22"/>
        </w:rPr>
        <w:t>DESCRIPTION OF WORK</w:t>
      </w:r>
    </w:p>
    <w:p w14:paraId="75042534" w14:textId="77777777" w:rsidR="00B0605B" w:rsidRPr="009518CB" w:rsidRDefault="000347AB">
      <w:pPr>
        <w:pStyle w:val="Heading4"/>
        <w:rPr>
          <w:rFonts w:cs="Calibri"/>
          <w:szCs w:val="22"/>
        </w:rPr>
      </w:pPr>
      <w:r w:rsidRPr="009518CB">
        <w:rPr>
          <w:rFonts w:cs="Calibri"/>
          <w:szCs w:val="22"/>
        </w:rPr>
        <w:t xml:space="preserve">Work Included:  The extent of transient voltage surge </w:t>
      </w:r>
      <w:r w:rsidR="00BE71D9" w:rsidRPr="009518CB">
        <w:rPr>
          <w:rFonts w:cs="Calibri"/>
          <w:szCs w:val="22"/>
        </w:rPr>
        <w:t>protection device</w:t>
      </w:r>
      <w:r w:rsidRPr="009518CB">
        <w:rPr>
          <w:rFonts w:cs="Calibri"/>
          <w:szCs w:val="22"/>
        </w:rPr>
        <w:t xml:space="preserve"> </w:t>
      </w:r>
      <w:r w:rsidR="00BE71D9" w:rsidRPr="009518CB">
        <w:rPr>
          <w:rFonts w:cs="Calibri"/>
          <w:szCs w:val="22"/>
        </w:rPr>
        <w:t xml:space="preserve">(SPD) </w:t>
      </w:r>
      <w:r w:rsidRPr="009518CB">
        <w:rPr>
          <w:rFonts w:cs="Calibri"/>
          <w:szCs w:val="22"/>
        </w:rPr>
        <w:t>work is as shown, scheduled, and as indicated by the requirements of this Section, and as specified elsewhere in these Specifications.</w:t>
      </w:r>
    </w:p>
    <w:p w14:paraId="3B144216" w14:textId="77777777" w:rsidR="00B0605B" w:rsidRPr="009518CB" w:rsidRDefault="000347AB">
      <w:pPr>
        <w:pStyle w:val="Heading4"/>
        <w:rPr>
          <w:rFonts w:cs="Calibri"/>
          <w:szCs w:val="22"/>
        </w:rPr>
      </w:pPr>
      <w:r w:rsidRPr="009518CB">
        <w:rPr>
          <w:rFonts w:cs="Calibri"/>
          <w:szCs w:val="22"/>
        </w:rPr>
        <w:t xml:space="preserve">Types:  The types of </w:t>
      </w:r>
      <w:r w:rsidR="00BE71D9" w:rsidRPr="009518CB">
        <w:rPr>
          <w:rFonts w:cs="Calibri"/>
          <w:szCs w:val="22"/>
        </w:rPr>
        <w:t>SPD</w:t>
      </w:r>
      <w:r w:rsidRPr="009518CB">
        <w:rPr>
          <w:rFonts w:cs="Calibri"/>
          <w:szCs w:val="22"/>
        </w:rPr>
        <w:t xml:space="preserve"> devices required for the project include, but are not limited to:</w:t>
      </w:r>
    </w:p>
    <w:p w14:paraId="13382C1F" w14:textId="77777777" w:rsidR="00B0605B" w:rsidRPr="009518CB" w:rsidRDefault="000347AB">
      <w:pPr>
        <w:pStyle w:val="Heading5"/>
        <w:rPr>
          <w:rFonts w:cs="Calibri"/>
          <w:szCs w:val="22"/>
        </w:rPr>
      </w:pPr>
      <w:r w:rsidRPr="009518CB">
        <w:rPr>
          <w:rFonts w:cs="Calibri"/>
          <w:szCs w:val="22"/>
        </w:rPr>
        <w:t>Service Entrance Protectors.</w:t>
      </w:r>
    </w:p>
    <w:p w14:paraId="6D016AD7" w14:textId="77777777" w:rsidR="00B0605B" w:rsidRPr="009518CB" w:rsidRDefault="000347AB">
      <w:pPr>
        <w:pStyle w:val="Heading5"/>
        <w:rPr>
          <w:rFonts w:cs="Calibri"/>
          <w:szCs w:val="22"/>
        </w:rPr>
      </w:pPr>
      <w:r w:rsidRPr="009518CB">
        <w:rPr>
          <w:rFonts w:cs="Calibri"/>
          <w:szCs w:val="22"/>
        </w:rPr>
        <w:t>Panelboard Protectors.</w:t>
      </w:r>
    </w:p>
    <w:p w14:paraId="6A6CA22E" w14:textId="625A75EA" w:rsidR="00B0605B" w:rsidRPr="009518CB" w:rsidRDefault="00BE71D9">
      <w:pPr>
        <w:pStyle w:val="Heading4"/>
        <w:rPr>
          <w:rFonts w:cs="Calibri"/>
          <w:szCs w:val="22"/>
        </w:rPr>
      </w:pPr>
      <w:r w:rsidRPr="009518CB">
        <w:rPr>
          <w:rFonts w:cs="Calibri"/>
          <w:szCs w:val="22"/>
        </w:rPr>
        <w:t>Surge Protection</w:t>
      </w:r>
      <w:r w:rsidR="000347AB" w:rsidRPr="009518CB">
        <w:rPr>
          <w:rFonts w:cs="Calibri"/>
          <w:szCs w:val="22"/>
        </w:rPr>
        <w:t xml:space="preserve"> Receptacles:  Refer to</w:t>
      </w:r>
      <w:r w:rsidR="00494573" w:rsidRPr="009518CB">
        <w:rPr>
          <w:rFonts w:cs="Calibri"/>
          <w:szCs w:val="22"/>
        </w:rPr>
        <w:t xml:space="preserve"> </w:t>
      </w:r>
      <w:r w:rsidR="000347AB" w:rsidRPr="009518CB">
        <w:rPr>
          <w:rFonts w:cs="Calibri"/>
          <w:szCs w:val="22"/>
        </w:rPr>
        <w:t xml:space="preserve">Section </w:t>
      </w:r>
      <w:r w:rsidR="004C19B9">
        <w:rPr>
          <w:rFonts w:cs="Calibri"/>
          <w:szCs w:val="22"/>
        </w:rPr>
        <w:t>26 2726</w:t>
      </w:r>
      <w:r w:rsidR="00DB070B">
        <w:rPr>
          <w:rFonts w:cs="Calibri"/>
          <w:szCs w:val="22"/>
        </w:rPr>
        <w:t xml:space="preserve"> </w:t>
      </w:r>
      <w:r w:rsidR="000347AB" w:rsidRPr="009518CB">
        <w:rPr>
          <w:rFonts w:cs="Calibri"/>
          <w:szCs w:val="22"/>
        </w:rPr>
        <w:t>"Wiring Devices</w:t>
      </w:r>
      <w:r w:rsidR="00494573" w:rsidRPr="009518CB">
        <w:rPr>
          <w:rFonts w:cs="Calibri"/>
          <w:szCs w:val="22"/>
        </w:rPr>
        <w:t>.</w:t>
      </w:r>
      <w:r w:rsidR="000347AB" w:rsidRPr="009518CB">
        <w:rPr>
          <w:rFonts w:cs="Calibri"/>
          <w:szCs w:val="22"/>
        </w:rPr>
        <w:t>"</w:t>
      </w:r>
    </w:p>
    <w:p w14:paraId="6496A416" w14:textId="2B88586B" w:rsidR="00B0605B" w:rsidRPr="009518CB" w:rsidRDefault="000347AB">
      <w:pPr>
        <w:pStyle w:val="Heading1"/>
        <w:rPr>
          <w:rFonts w:cs="Calibri"/>
          <w:sz w:val="22"/>
          <w:szCs w:val="22"/>
        </w:rPr>
      </w:pPr>
      <w:r w:rsidRPr="009518CB">
        <w:rPr>
          <w:rFonts w:cs="Calibri"/>
          <w:sz w:val="22"/>
          <w:szCs w:val="22"/>
        </w:rPr>
        <w:t>QUALITY ASSURANCE</w:t>
      </w:r>
    </w:p>
    <w:p w14:paraId="0221D6FB" w14:textId="77777777" w:rsidR="00B0605B" w:rsidRPr="007A41B9" w:rsidRDefault="000347AB">
      <w:pPr>
        <w:pStyle w:val="Heading4"/>
        <w:rPr>
          <w:rFonts w:cs="Calibri"/>
          <w:szCs w:val="22"/>
        </w:rPr>
      </w:pPr>
      <w:r w:rsidRPr="009518CB">
        <w:rPr>
          <w:rFonts w:cs="Calibri"/>
          <w:szCs w:val="22"/>
        </w:rPr>
        <w:t>Manufacturers</w:t>
      </w:r>
      <w:r w:rsidRPr="007A41B9">
        <w:rPr>
          <w:rFonts w:cs="Calibri"/>
          <w:szCs w:val="22"/>
        </w:rPr>
        <w:t>:  Provide products complying with these specifications and produced by one of the following:</w:t>
      </w:r>
    </w:p>
    <w:p w14:paraId="67411FBE" w14:textId="77777777" w:rsidR="00B0605B" w:rsidRPr="007A41B9" w:rsidRDefault="000347AB">
      <w:pPr>
        <w:pStyle w:val="Heading5"/>
        <w:rPr>
          <w:rFonts w:cs="Calibri"/>
          <w:szCs w:val="22"/>
        </w:rPr>
      </w:pPr>
      <w:r w:rsidRPr="007A41B9">
        <w:rPr>
          <w:rFonts w:cs="Calibri"/>
          <w:szCs w:val="22"/>
        </w:rPr>
        <w:t>Advanced Protection Technologies.</w:t>
      </w:r>
    </w:p>
    <w:p w14:paraId="486B9D95" w14:textId="77777777" w:rsidR="00B0605B" w:rsidRPr="007A41B9" w:rsidRDefault="000347AB">
      <w:pPr>
        <w:pStyle w:val="Heading5"/>
        <w:rPr>
          <w:rFonts w:cs="Calibri"/>
          <w:szCs w:val="22"/>
        </w:rPr>
      </w:pPr>
      <w:r w:rsidRPr="007A41B9">
        <w:rPr>
          <w:rFonts w:cs="Calibri"/>
          <w:szCs w:val="22"/>
        </w:rPr>
        <w:t>Control Concepts.</w:t>
      </w:r>
    </w:p>
    <w:p w14:paraId="63893AA3" w14:textId="77777777" w:rsidR="00B0605B" w:rsidRPr="007A41B9" w:rsidRDefault="000347AB">
      <w:pPr>
        <w:pStyle w:val="Heading5"/>
        <w:rPr>
          <w:rFonts w:cs="Calibri"/>
          <w:szCs w:val="22"/>
        </w:rPr>
      </w:pPr>
      <w:r w:rsidRPr="007A41B9">
        <w:rPr>
          <w:rFonts w:cs="Calibri"/>
          <w:szCs w:val="22"/>
        </w:rPr>
        <w:t>L.E.A. Dynatech.</w:t>
      </w:r>
    </w:p>
    <w:p w14:paraId="229B736E" w14:textId="77777777" w:rsidR="00B0605B" w:rsidRPr="007A41B9" w:rsidRDefault="000347AB">
      <w:pPr>
        <w:pStyle w:val="Heading5"/>
        <w:rPr>
          <w:rFonts w:cs="Calibri"/>
          <w:szCs w:val="22"/>
        </w:rPr>
      </w:pPr>
      <w:r w:rsidRPr="007A41B9">
        <w:rPr>
          <w:rFonts w:cs="Calibri"/>
          <w:szCs w:val="22"/>
        </w:rPr>
        <w:t>Leviton Manufacturing Co.</w:t>
      </w:r>
    </w:p>
    <w:p w14:paraId="40A8123C" w14:textId="77777777" w:rsidR="00B0605B" w:rsidRPr="007A41B9" w:rsidRDefault="000347AB">
      <w:pPr>
        <w:pStyle w:val="Heading5"/>
        <w:rPr>
          <w:rFonts w:cs="Calibri"/>
          <w:szCs w:val="22"/>
        </w:rPr>
      </w:pPr>
      <w:r w:rsidRPr="007A41B9">
        <w:rPr>
          <w:rFonts w:cs="Calibri"/>
          <w:szCs w:val="22"/>
        </w:rPr>
        <w:t>Liebert Corporation.</w:t>
      </w:r>
    </w:p>
    <w:p w14:paraId="0AD06862" w14:textId="77777777" w:rsidR="00B0605B" w:rsidRPr="007A41B9" w:rsidRDefault="000347AB">
      <w:pPr>
        <w:pStyle w:val="Heading4"/>
        <w:rPr>
          <w:rFonts w:cs="Calibri"/>
          <w:szCs w:val="22"/>
        </w:rPr>
      </w:pPr>
      <w:r w:rsidRPr="009518CB">
        <w:rPr>
          <w:rFonts w:cs="Calibri"/>
          <w:szCs w:val="22"/>
        </w:rPr>
        <w:t>UL Label</w:t>
      </w:r>
      <w:r w:rsidRPr="007A41B9">
        <w:rPr>
          <w:rFonts w:cs="Calibri"/>
          <w:szCs w:val="22"/>
        </w:rPr>
        <w:t xml:space="preserve">:  All </w:t>
      </w:r>
      <w:r w:rsidR="00395EC3" w:rsidRPr="007A41B9">
        <w:rPr>
          <w:rFonts w:cs="Calibri"/>
          <w:szCs w:val="22"/>
        </w:rPr>
        <w:t>SPDs</w:t>
      </w:r>
      <w:r w:rsidRPr="007A41B9">
        <w:rPr>
          <w:rFonts w:cs="Calibri"/>
          <w:szCs w:val="22"/>
        </w:rPr>
        <w:t xml:space="preserve"> shall be UL labeled.</w:t>
      </w:r>
    </w:p>
    <w:p w14:paraId="7841303F" w14:textId="28B4BCF7" w:rsidR="00B0605B" w:rsidRPr="007A41B9" w:rsidRDefault="000347AB">
      <w:pPr>
        <w:pStyle w:val="Heading1"/>
        <w:rPr>
          <w:rFonts w:cs="Calibri"/>
          <w:sz w:val="22"/>
          <w:szCs w:val="22"/>
        </w:rPr>
      </w:pPr>
      <w:r w:rsidRPr="007A41B9">
        <w:rPr>
          <w:rFonts w:cs="Calibri"/>
          <w:sz w:val="22"/>
          <w:szCs w:val="22"/>
        </w:rPr>
        <w:lastRenderedPageBreak/>
        <w:t>SUBMITTALS</w:t>
      </w:r>
    </w:p>
    <w:p w14:paraId="77E4C703" w14:textId="77777777" w:rsidR="00B0605B" w:rsidRPr="007A41B9" w:rsidRDefault="000347AB">
      <w:pPr>
        <w:pStyle w:val="Heading4"/>
        <w:rPr>
          <w:rFonts w:cs="Calibri"/>
          <w:szCs w:val="22"/>
        </w:rPr>
      </w:pPr>
      <w:r w:rsidRPr="007A41B9">
        <w:rPr>
          <w:rFonts w:cs="Calibri"/>
          <w:szCs w:val="22"/>
        </w:rPr>
        <w:t>Show Drawing submittals shall include, but not be limited to, the following:</w:t>
      </w:r>
    </w:p>
    <w:p w14:paraId="1EB3AE1C" w14:textId="77777777" w:rsidR="00B0605B" w:rsidRPr="007A41B9" w:rsidRDefault="000347AB">
      <w:pPr>
        <w:pStyle w:val="Heading5"/>
        <w:rPr>
          <w:rFonts w:cs="Calibri"/>
          <w:szCs w:val="22"/>
        </w:rPr>
      </w:pPr>
      <w:r w:rsidRPr="007A41B9">
        <w:rPr>
          <w:rFonts w:cs="Calibri"/>
          <w:szCs w:val="22"/>
        </w:rPr>
        <w:t xml:space="preserve">Cut sheets marked to clearly indicate </w:t>
      </w:r>
      <w:r w:rsidR="00BE71D9" w:rsidRPr="007A41B9">
        <w:rPr>
          <w:rFonts w:cs="Calibri"/>
          <w:szCs w:val="22"/>
        </w:rPr>
        <w:t>SPD</w:t>
      </w:r>
      <w:r w:rsidRPr="007A41B9">
        <w:rPr>
          <w:rFonts w:cs="Calibri"/>
          <w:szCs w:val="22"/>
        </w:rPr>
        <w:t xml:space="preserve"> types, sizes, construction, features, accessories, dimensions and other information required to review the proposed </w:t>
      </w:r>
      <w:r w:rsidR="00395EC3" w:rsidRPr="007A41B9">
        <w:rPr>
          <w:rFonts w:cs="Calibri"/>
          <w:szCs w:val="22"/>
        </w:rPr>
        <w:t>SPDs</w:t>
      </w:r>
      <w:r w:rsidRPr="007A41B9">
        <w:rPr>
          <w:rFonts w:cs="Calibri"/>
          <w:szCs w:val="22"/>
        </w:rPr>
        <w:t>.</w:t>
      </w:r>
    </w:p>
    <w:p w14:paraId="6E2B30ED" w14:textId="436A827A" w:rsidR="002725A8" w:rsidRPr="007A41B9" w:rsidRDefault="002725A8" w:rsidP="002725A8">
      <w:pPr>
        <w:pStyle w:val="Heading5"/>
        <w:overflowPunct/>
        <w:autoSpaceDE/>
        <w:autoSpaceDN/>
        <w:adjustRightInd/>
        <w:textAlignment w:val="auto"/>
        <w:rPr>
          <w:rFonts w:cs="Calibri"/>
          <w:szCs w:val="22"/>
        </w:rPr>
      </w:pPr>
      <w:r w:rsidRPr="007A41B9">
        <w:rPr>
          <w:rFonts w:cs="Calibri"/>
          <w:szCs w:val="22"/>
        </w:rPr>
        <w:t xml:space="preserve">Additional information as required in Section </w:t>
      </w:r>
      <w:r w:rsidR="004C19B9">
        <w:rPr>
          <w:rFonts w:cs="Calibri"/>
          <w:szCs w:val="22"/>
        </w:rPr>
        <w:t>26 0001</w:t>
      </w:r>
      <w:proofErr w:type="gramStart"/>
      <w:r w:rsidRPr="007A41B9">
        <w:rPr>
          <w:rFonts w:cs="Calibri"/>
          <w:szCs w:val="22"/>
        </w:rPr>
        <w:t>“</w:t>
      </w:r>
      <w:r w:rsidR="00DB070B">
        <w:rPr>
          <w:rFonts w:cs="Calibri"/>
          <w:szCs w:val="22"/>
        </w:rPr>
        <w:t xml:space="preserve"> </w:t>
      </w:r>
      <w:bookmarkStart w:id="5" w:name="_GoBack"/>
      <w:bookmarkEnd w:id="5"/>
      <w:r w:rsidRPr="007A41B9">
        <w:rPr>
          <w:rFonts w:cs="Calibri"/>
          <w:szCs w:val="22"/>
        </w:rPr>
        <w:t>Electrical</w:t>
      </w:r>
      <w:proofErr w:type="gramEnd"/>
      <w:r w:rsidRPr="007A41B9">
        <w:rPr>
          <w:rFonts w:cs="Calibri"/>
          <w:szCs w:val="22"/>
        </w:rPr>
        <w:t xml:space="preserve"> General Provisions</w:t>
      </w:r>
      <w:r w:rsidR="001611F0">
        <w:rPr>
          <w:rFonts w:cs="Calibri"/>
          <w:szCs w:val="22"/>
        </w:rPr>
        <w:t>.</w:t>
      </w:r>
      <w:r w:rsidRPr="007A41B9">
        <w:rPr>
          <w:rFonts w:cs="Calibri"/>
          <w:szCs w:val="22"/>
        </w:rPr>
        <w:t>”</w:t>
      </w:r>
    </w:p>
    <w:p w14:paraId="0A00DC40" w14:textId="5FF424EF" w:rsidR="00B0605B" w:rsidRPr="007A41B9" w:rsidRDefault="000347AB">
      <w:pPr>
        <w:pStyle w:val="Heading1"/>
        <w:rPr>
          <w:rFonts w:cs="Calibri"/>
          <w:sz w:val="22"/>
          <w:szCs w:val="22"/>
        </w:rPr>
      </w:pPr>
      <w:r w:rsidRPr="007A41B9">
        <w:rPr>
          <w:rFonts w:cs="Calibri"/>
          <w:sz w:val="22"/>
          <w:szCs w:val="22"/>
        </w:rPr>
        <w:t>DELIVERY, STORAGE AND HANDLING</w:t>
      </w:r>
    </w:p>
    <w:p w14:paraId="5E0E494E" w14:textId="77777777" w:rsidR="00B0605B" w:rsidRPr="007A41B9" w:rsidRDefault="000347AB">
      <w:pPr>
        <w:pStyle w:val="Heading4"/>
        <w:rPr>
          <w:rFonts w:cs="Calibri"/>
          <w:szCs w:val="22"/>
        </w:rPr>
      </w:pPr>
      <w:r w:rsidRPr="007A41B9">
        <w:rPr>
          <w:rFonts w:cs="Calibri"/>
          <w:szCs w:val="22"/>
        </w:rPr>
        <w:t xml:space="preserve">Store </w:t>
      </w:r>
      <w:r w:rsidR="00BE71D9" w:rsidRPr="007A41B9">
        <w:rPr>
          <w:rFonts w:cs="Calibri"/>
          <w:szCs w:val="22"/>
        </w:rPr>
        <w:t>SPD</w:t>
      </w:r>
      <w:r w:rsidRPr="007A41B9">
        <w:rPr>
          <w:rFonts w:cs="Calibri"/>
          <w:szCs w:val="22"/>
        </w:rPr>
        <w:t xml:space="preserve"> devices in a clean, dry space.  Maintain factory-wrapping or provide an additional heavy canvas or heavy plastic cover to protect units from dirt, water, construction debris, and traffic.</w:t>
      </w:r>
    </w:p>
    <w:p w14:paraId="651F2F2B" w14:textId="77777777" w:rsidR="00B0605B" w:rsidRPr="007A41B9" w:rsidRDefault="000347AB">
      <w:pPr>
        <w:pStyle w:val="Heading4"/>
        <w:rPr>
          <w:rFonts w:cs="Calibri"/>
          <w:szCs w:val="22"/>
        </w:rPr>
      </w:pPr>
      <w:r w:rsidRPr="007A41B9">
        <w:rPr>
          <w:rFonts w:cs="Calibri"/>
          <w:szCs w:val="22"/>
        </w:rPr>
        <w:t xml:space="preserve">Handle </w:t>
      </w:r>
      <w:r w:rsidR="00BE71D9" w:rsidRPr="007A41B9">
        <w:rPr>
          <w:rFonts w:cs="Calibri"/>
          <w:szCs w:val="22"/>
        </w:rPr>
        <w:t>SPD</w:t>
      </w:r>
      <w:r w:rsidRPr="007A41B9">
        <w:rPr>
          <w:rFonts w:cs="Calibri"/>
          <w:szCs w:val="22"/>
        </w:rPr>
        <w:t xml:space="preserve"> devices carefully to avoid damage to material components, enclosure and finish.</w:t>
      </w:r>
    </w:p>
    <w:p w14:paraId="78616BCB" w14:textId="77777777" w:rsidR="00B0605B" w:rsidRPr="00561E58" w:rsidRDefault="000347AB" w:rsidP="007A41B9">
      <w:pPr>
        <w:pStyle w:val="Main"/>
        <w:numPr>
          <w:ilvl w:val="0"/>
          <w:numId w:val="0"/>
        </w:numPr>
        <w:rPr>
          <w:rFonts w:cs="Calibri"/>
          <w:sz w:val="22"/>
          <w:szCs w:val="22"/>
        </w:rPr>
      </w:pPr>
      <w:r w:rsidRPr="00561E58">
        <w:rPr>
          <w:rFonts w:cs="Calibri"/>
          <w:sz w:val="22"/>
          <w:szCs w:val="22"/>
        </w:rPr>
        <w:t>PART 2 - PRODUCTS</w:t>
      </w:r>
    </w:p>
    <w:p w14:paraId="4C714F85" w14:textId="3439D61E" w:rsidR="00B0605B" w:rsidRPr="007A41B9" w:rsidRDefault="000347AB">
      <w:pPr>
        <w:pStyle w:val="Heading2"/>
        <w:rPr>
          <w:rFonts w:cs="Calibri"/>
          <w:sz w:val="22"/>
          <w:szCs w:val="22"/>
        </w:rPr>
      </w:pPr>
      <w:r w:rsidRPr="007A41B9">
        <w:rPr>
          <w:rFonts w:cs="Calibri"/>
          <w:sz w:val="22"/>
          <w:szCs w:val="22"/>
        </w:rPr>
        <w:t>MATERIALS AND COMPONENTS</w:t>
      </w:r>
    </w:p>
    <w:p w14:paraId="32047610" w14:textId="77777777" w:rsidR="00B0605B" w:rsidRPr="007A41B9" w:rsidRDefault="000347AB">
      <w:pPr>
        <w:pStyle w:val="Heading4"/>
        <w:rPr>
          <w:rFonts w:cs="Calibri"/>
          <w:szCs w:val="22"/>
        </w:rPr>
      </w:pPr>
      <w:r w:rsidRPr="009518CB">
        <w:rPr>
          <w:rFonts w:cs="Calibri"/>
          <w:szCs w:val="22"/>
        </w:rPr>
        <w:t>General</w:t>
      </w:r>
      <w:r w:rsidRPr="007A41B9">
        <w:rPr>
          <w:rFonts w:cs="Calibri"/>
          <w:szCs w:val="22"/>
        </w:rPr>
        <w:t xml:space="preserve">:  Except as otherwise indicated, provide </w:t>
      </w:r>
      <w:r w:rsidR="00BE71D9" w:rsidRPr="007A41B9">
        <w:rPr>
          <w:rFonts w:cs="Calibri"/>
          <w:szCs w:val="22"/>
        </w:rPr>
        <w:t>SPD</w:t>
      </w:r>
      <w:r w:rsidRPr="007A41B9">
        <w:rPr>
          <w:rFonts w:cs="Calibri"/>
          <w:szCs w:val="22"/>
        </w:rPr>
        <w:t xml:space="preserve"> manufacturer's standard materials and components as indicated by his published product information, designed and constructed as recommended by the manufacturer, and as required for a complete installation.</w:t>
      </w:r>
    </w:p>
    <w:p w14:paraId="703207FF" w14:textId="29D808F4" w:rsidR="00B0605B" w:rsidRPr="007A41B9" w:rsidRDefault="000347AB">
      <w:pPr>
        <w:pStyle w:val="Heading2"/>
        <w:rPr>
          <w:rFonts w:cs="Calibri"/>
          <w:sz w:val="22"/>
          <w:szCs w:val="22"/>
        </w:rPr>
      </w:pPr>
      <w:r w:rsidRPr="007A41B9">
        <w:rPr>
          <w:rFonts w:cs="Calibri"/>
          <w:sz w:val="22"/>
          <w:szCs w:val="22"/>
        </w:rPr>
        <w:t xml:space="preserve">SURGE </w:t>
      </w:r>
      <w:r w:rsidR="00BE71D9" w:rsidRPr="007A41B9">
        <w:rPr>
          <w:rFonts w:cs="Calibri"/>
          <w:sz w:val="22"/>
          <w:szCs w:val="22"/>
        </w:rPr>
        <w:t>PROTECTORS</w:t>
      </w:r>
    </w:p>
    <w:p w14:paraId="4A69A6B7" w14:textId="5FDC3A20" w:rsidR="00B0605B" w:rsidRPr="009518CB" w:rsidRDefault="000347AB">
      <w:pPr>
        <w:pStyle w:val="Heading4"/>
        <w:rPr>
          <w:rFonts w:cs="Calibri"/>
          <w:szCs w:val="22"/>
        </w:rPr>
      </w:pPr>
      <w:r w:rsidRPr="009518CB">
        <w:rPr>
          <w:rFonts w:cs="Calibri"/>
          <w:szCs w:val="22"/>
        </w:rPr>
        <w:t xml:space="preserve">General:  Provide L.E.A. Dynatech </w:t>
      </w:r>
      <w:r w:rsidRPr="009518CB">
        <w:rPr>
          <w:rFonts w:cs="Calibri"/>
          <w:b/>
          <w:szCs w:val="22"/>
        </w:rPr>
        <w:t>[PHT Plus]</w:t>
      </w:r>
      <w:r w:rsidRPr="009518CB">
        <w:rPr>
          <w:rFonts w:cs="Calibri"/>
          <w:szCs w:val="22"/>
        </w:rPr>
        <w:t xml:space="preserve"> Series or approved equal transient voltage </w:t>
      </w:r>
      <w:r w:rsidR="00F951F9" w:rsidRPr="009518CB">
        <w:rPr>
          <w:rFonts w:cs="Calibri"/>
          <w:szCs w:val="22"/>
        </w:rPr>
        <w:t>Surge Protection Device</w:t>
      </w:r>
      <w:r w:rsidRPr="009518CB">
        <w:rPr>
          <w:rFonts w:cs="Calibri"/>
          <w:szCs w:val="22"/>
        </w:rPr>
        <w:t xml:space="preserve"> (</w:t>
      </w:r>
      <w:r w:rsidR="00BE71D9" w:rsidRPr="009518CB">
        <w:rPr>
          <w:rFonts w:cs="Calibri"/>
          <w:szCs w:val="22"/>
        </w:rPr>
        <w:t>SPD</w:t>
      </w:r>
      <w:r w:rsidRPr="009518CB">
        <w:rPr>
          <w:rFonts w:cs="Calibri"/>
          <w:szCs w:val="22"/>
        </w:rPr>
        <w:t xml:space="preserve">) on the secondary side of each substation transformer.  The </w:t>
      </w:r>
      <w:r w:rsidR="00BE71D9" w:rsidRPr="009518CB">
        <w:rPr>
          <w:rFonts w:cs="Calibri"/>
          <w:szCs w:val="22"/>
        </w:rPr>
        <w:t>SPD</w:t>
      </w:r>
      <w:r w:rsidRPr="009518CB">
        <w:rPr>
          <w:rFonts w:cs="Calibri"/>
          <w:szCs w:val="22"/>
        </w:rPr>
        <w:t xml:space="preserve"> shall be of a parallel, multi-staged, hybrid design.  The </w:t>
      </w:r>
      <w:r w:rsidR="00BE71D9" w:rsidRPr="009518CB">
        <w:rPr>
          <w:rFonts w:cs="Calibri"/>
          <w:szCs w:val="22"/>
        </w:rPr>
        <w:t>SPD</w:t>
      </w:r>
      <w:r w:rsidRPr="009518CB">
        <w:rPr>
          <w:rFonts w:cs="Calibri"/>
          <w:szCs w:val="22"/>
        </w:rPr>
        <w:t xml:space="preserve"> shall use fast-acting, high-energy dissipators and transient-energy protectors that will divert and dissipate the surge energy.  The </w:t>
      </w:r>
      <w:r w:rsidR="00BE71D9" w:rsidRPr="009518CB">
        <w:rPr>
          <w:rFonts w:cs="Calibri"/>
          <w:szCs w:val="22"/>
        </w:rPr>
        <w:t>SPD</w:t>
      </w:r>
      <w:r w:rsidRPr="009518CB">
        <w:rPr>
          <w:rFonts w:cs="Calibri"/>
          <w:szCs w:val="22"/>
        </w:rPr>
        <w:t xml:space="preserve"> shall be self-restoring and fully automatic, with a total system response time not to exceed 5 nanoseconds.  The </w:t>
      </w:r>
      <w:r w:rsidR="00BE71D9" w:rsidRPr="009518CB">
        <w:rPr>
          <w:rFonts w:cs="Calibri"/>
          <w:szCs w:val="22"/>
        </w:rPr>
        <w:t>SPD</w:t>
      </w:r>
      <w:r w:rsidRPr="009518CB">
        <w:rPr>
          <w:rFonts w:cs="Calibri"/>
          <w:szCs w:val="22"/>
        </w:rPr>
        <w:t xml:space="preserve"> shall include an integrated status alarm monitor circuit, surge counter, and audible alarm to facilitate a positive diagnosis of continuous operation.</w:t>
      </w:r>
    </w:p>
    <w:p w14:paraId="522D95AB" w14:textId="1EAED464" w:rsidR="00B0605B" w:rsidRPr="009518CB" w:rsidRDefault="000347AB">
      <w:pPr>
        <w:pStyle w:val="Heading4"/>
        <w:rPr>
          <w:rFonts w:cs="Calibri"/>
          <w:szCs w:val="22"/>
        </w:rPr>
      </w:pPr>
      <w:r w:rsidRPr="009518CB">
        <w:rPr>
          <w:rFonts w:cs="Calibri"/>
          <w:szCs w:val="22"/>
        </w:rPr>
        <w:t xml:space="preserve">High-energy Dissipator (HED):  The primary protection shall be a high-energy shunt network, capable of dissipating the energy associated with a lightning strike.  The HED shall be connected phase to ground, providing maximum lightning protection with a surge current capacity of 50,000 amperes/module with an 8x20 microsecond test waveform.  The HED shall incorporate fuse links which, if the surge capacity of the module is exceeded, will disconnect the HED from the </w:t>
      </w:r>
      <w:r w:rsidR="00F951F9" w:rsidRPr="009518CB">
        <w:rPr>
          <w:rFonts w:cs="Calibri"/>
          <w:szCs w:val="22"/>
        </w:rPr>
        <w:t xml:space="preserve">AC </w:t>
      </w:r>
      <w:r w:rsidRPr="009518CB">
        <w:rPr>
          <w:rFonts w:cs="Calibri"/>
          <w:szCs w:val="22"/>
        </w:rPr>
        <w:t>source without interrupting power to the load.</w:t>
      </w:r>
    </w:p>
    <w:p w14:paraId="39D39D22" w14:textId="7BBADBF5" w:rsidR="00B0605B" w:rsidRPr="007A41B9" w:rsidRDefault="000347AB">
      <w:pPr>
        <w:pStyle w:val="Heading4"/>
        <w:rPr>
          <w:rFonts w:cs="Calibri"/>
          <w:szCs w:val="22"/>
        </w:rPr>
      </w:pPr>
      <w:r w:rsidRPr="009518CB">
        <w:rPr>
          <w:rFonts w:cs="Calibri"/>
          <w:szCs w:val="22"/>
        </w:rPr>
        <w:t>Transient-energy Protector (TEP):</w:t>
      </w:r>
      <w:r w:rsidRPr="007A41B9">
        <w:rPr>
          <w:rFonts w:cs="Calibri"/>
          <w:szCs w:val="22"/>
        </w:rPr>
        <w:t xml:space="preserve">  The secondary protection shall be a solid-state clamping network capable of clamping impulse voltages, regardless of their origin, to the specified safe level.  The TEP shall be installed phase to neutral (single-phase, split-phase, and wye) or phase to phase (delta), providing maximum protection against surges and spikes with a surge current capacity of 25,000 amperes/module with an 8x20 microsecond test waveform.  Component response time shall be one picosecond.  Total module response time not to exceed 5 nanoseconds.</w:t>
      </w:r>
    </w:p>
    <w:p w14:paraId="063FFD4B" w14:textId="77777777" w:rsidR="00B0605B" w:rsidRPr="009518CB" w:rsidRDefault="000347AB">
      <w:pPr>
        <w:pStyle w:val="Heading4"/>
        <w:rPr>
          <w:rFonts w:cs="Calibri"/>
          <w:szCs w:val="22"/>
        </w:rPr>
      </w:pPr>
      <w:r w:rsidRPr="009518CB">
        <w:rPr>
          <w:rFonts w:cs="Calibri"/>
          <w:szCs w:val="22"/>
        </w:rPr>
        <w:t xml:space="preserve">Status Indicators:  The </w:t>
      </w:r>
      <w:r w:rsidR="00BE71D9" w:rsidRPr="009518CB">
        <w:rPr>
          <w:rFonts w:cs="Calibri"/>
          <w:szCs w:val="22"/>
        </w:rPr>
        <w:t>SPD</w:t>
      </w:r>
      <w:r w:rsidRPr="009518CB">
        <w:rPr>
          <w:rFonts w:cs="Calibri"/>
          <w:szCs w:val="22"/>
        </w:rPr>
        <w:t xml:space="preserve"> shall include redundant status indicators, providing a continuous positive indication of </w:t>
      </w:r>
      <w:r w:rsidR="00BE71D9" w:rsidRPr="009518CB">
        <w:rPr>
          <w:rFonts w:cs="Calibri"/>
          <w:szCs w:val="22"/>
        </w:rPr>
        <w:t>SPD</w:t>
      </w:r>
      <w:r w:rsidRPr="009518CB">
        <w:rPr>
          <w:rFonts w:cs="Calibri"/>
          <w:szCs w:val="22"/>
        </w:rPr>
        <w:t xml:space="preserve"> protection module status.</w:t>
      </w:r>
    </w:p>
    <w:p w14:paraId="5FE4D4DA" w14:textId="77777777" w:rsidR="00B0605B" w:rsidRPr="007A41B9" w:rsidRDefault="000347AB">
      <w:pPr>
        <w:pStyle w:val="Heading4"/>
        <w:rPr>
          <w:rFonts w:cs="Calibri"/>
          <w:szCs w:val="22"/>
        </w:rPr>
      </w:pPr>
      <w:r w:rsidRPr="009518CB">
        <w:rPr>
          <w:rFonts w:cs="Calibri"/>
          <w:szCs w:val="22"/>
        </w:rPr>
        <w:t>Status Alarm Monitor (SAM):</w:t>
      </w:r>
      <w:r w:rsidRPr="007A41B9">
        <w:rPr>
          <w:rFonts w:cs="Calibri"/>
          <w:szCs w:val="22"/>
        </w:rPr>
        <w:t xml:space="preserve">  The </w:t>
      </w:r>
      <w:r w:rsidR="00BE71D9" w:rsidRPr="007A41B9">
        <w:rPr>
          <w:rFonts w:cs="Calibri"/>
          <w:szCs w:val="22"/>
        </w:rPr>
        <w:t>SPD</w:t>
      </w:r>
      <w:r w:rsidRPr="007A41B9">
        <w:rPr>
          <w:rFonts w:cs="Calibri"/>
          <w:szCs w:val="22"/>
        </w:rPr>
        <w:t xml:space="preserve"> shall include a status alarm monitor system, which will continuously monitor each phase of the incoming power as well as the status of the TEP and HED modules.  The SAM shall include a normally open (N.O.) dry output contact which shall close upon </w:t>
      </w:r>
      <w:r w:rsidRPr="007A41B9">
        <w:rPr>
          <w:rFonts w:cs="Calibri"/>
          <w:szCs w:val="22"/>
        </w:rPr>
        <w:lastRenderedPageBreak/>
        <w:t>failure of any protection module.  The SAM shall incorporate its own transient voltage suppression network to protect itself from damage due to surge and transient energy.</w:t>
      </w:r>
    </w:p>
    <w:p w14:paraId="68C68848" w14:textId="3416AFFC" w:rsidR="00B0605B" w:rsidRPr="007A41B9" w:rsidRDefault="000347AB">
      <w:pPr>
        <w:pStyle w:val="Heading4"/>
        <w:rPr>
          <w:rFonts w:cs="Calibri"/>
          <w:b/>
          <w:szCs w:val="22"/>
        </w:rPr>
      </w:pPr>
      <w:r w:rsidRPr="007A41B9">
        <w:rPr>
          <w:rFonts w:cs="Calibri"/>
          <w:b/>
          <w:szCs w:val="22"/>
        </w:rPr>
        <w:t>[</w:t>
      </w:r>
      <w:r w:rsidRPr="009518CB">
        <w:rPr>
          <w:rFonts w:cs="Calibri"/>
          <w:b/>
          <w:szCs w:val="22"/>
        </w:rPr>
        <w:t>Surge Counter Option (SCO):</w:t>
      </w:r>
      <w:r w:rsidRPr="007A41B9">
        <w:rPr>
          <w:rFonts w:cs="Calibri"/>
          <w:b/>
          <w:szCs w:val="22"/>
        </w:rPr>
        <w:t xml:space="preserve">  The </w:t>
      </w:r>
      <w:r w:rsidR="00BE71D9" w:rsidRPr="007A41B9">
        <w:rPr>
          <w:rFonts w:cs="Calibri"/>
          <w:b/>
          <w:szCs w:val="22"/>
        </w:rPr>
        <w:t>SPD</w:t>
      </w:r>
      <w:r w:rsidRPr="007A41B9">
        <w:rPr>
          <w:rFonts w:cs="Calibri"/>
          <w:b/>
          <w:szCs w:val="22"/>
        </w:rPr>
        <w:t xml:space="preserve"> shall include a surge counter, on the face of the enclosure, which will count all transients occurring above the system clamping voltage threshold.  The SCO shall interface with the SAM system and be independently powered without using an external power supply.  The SCO shall maintain data in the event of a power failure or disconnection from the </w:t>
      </w:r>
      <w:r w:rsidR="00F951F9">
        <w:rPr>
          <w:rFonts w:cs="Calibri"/>
          <w:b/>
          <w:szCs w:val="22"/>
        </w:rPr>
        <w:t>AC</w:t>
      </w:r>
      <w:r w:rsidR="00F951F9" w:rsidRPr="007A41B9">
        <w:rPr>
          <w:rFonts w:cs="Calibri"/>
          <w:b/>
          <w:szCs w:val="22"/>
        </w:rPr>
        <w:t xml:space="preserve"> </w:t>
      </w:r>
      <w:r w:rsidRPr="007A41B9">
        <w:rPr>
          <w:rFonts w:cs="Calibri"/>
          <w:b/>
          <w:szCs w:val="22"/>
        </w:rPr>
        <w:t>power source.  The SCO system shall provide a visual count of all surges and transients through an LCD readout.  The SCO circuitry shall prevent incorrect counting of ringing transients by registering all surges and transients occurring within 20 milliseconds as a single event.  The SCO shall be capable of being reset by a push button switch on the surge counter meter faceplate.]</w:t>
      </w:r>
    </w:p>
    <w:p w14:paraId="2367313D" w14:textId="49ADB448" w:rsidR="00B0605B" w:rsidRPr="009518CB" w:rsidRDefault="000347AB">
      <w:pPr>
        <w:pStyle w:val="Heading4"/>
        <w:rPr>
          <w:rFonts w:cs="Calibri"/>
          <w:szCs w:val="22"/>
        </w:rPr>
      </w:pPr>
      <w:r w:rsidRPr="009518CB">
        <w:rPr>
          <w:rFonts w:cs="Calibri"/>
          <w:szCs w:val="22"/>
        </w:rPr>
        <w:t xml:space="preserve">Testing Standards:  The </w:t>
      </w:r>
      <w:r w:rsidR="00BE71D9" w:rsidRPr="009518CB">
        <w:rPr>
          <w:rFonts w:cs="Calibri"/>
          <w:szCs w:val="22"/>
        </w:rPr>
        <w:t>SPD</w:t>
      </w:r>
      <w:r w:rsidRPr="009518CB">
        <w:rPr>
          <w:rFonts w:cs="Calibri"/>
          <w:szCs w:val="22"/>
        </w:rPr>
        <w:t xml:space="preserve"> shall be tested to and comply with ANSI/IEEE C62.41 categories B and C.  The </w:t>
      </w:r>
      <w:r w:rsidR="00BE71D9" w:rsidRPr="009518CB">
        <w:rPr>
          <w:rFonts w:cs="Calibri"/>
          <w:szCs w:val="22"/>
        </w:rPr>
        <w:t>SPD</w:t>
      </w:r>
      <w:r w:rsidRPr="009518CB">
        <w:rPr>
          <w:rFonts w:cs="Calibri"/>
          <w:szCs w:val="22"/>
        </w:rPr>
        <w:t xml:space="preserve"> modules shall be UL recognized and comply with UL 1449</w:t>
      </w:r>
      <w:r w:rsidR="00F951F9" w:rsidRPr="009518CB">
        <w:rPr>
          <w:rFonts w:cs="Calibri"/>
          <w:szCs w:val="22"/>
        </w:rPr>
        <w:t>, 3</w:t>
      </w:r>
      <w:r w:rsidR="00F951F9" w:rsidRPr="009518CB">
        <w:rPr>
          <w:rFonts w:cs="Calibri"/>
          <w:szCs w:val="22"/>
          <w:vertAlign w:val="superscript"/>
        </w:rPr>
        <w:t>rd</w:t>
      </w:r>
      <w:r w:rsidR="00F951F9" w:rsidRPr="009518CB">
        <w:rPr>
          <w:rFonts w:cs="Calibri"/>
          <w:szCs w:val="22"/>
        </w:rPr>
        <w:t xml:space="preserve"> Edition</w:t>
      </w:r>
      <w:r w:rsidRPr="009518CB">
        <w:rPr>
          <w:rFonts w:cs="Calibri"/>
          <w:szCs w:val="22"/>
        </w:rPr>
        <w:t xml:space="preserve">.  Total system shall be tested to MIL STD 220A.  The </w:t>
      </w:r>
      <w:r w:rsidR="00BE71D9" w:rsidRPr="009518CB">
        <w:rPr>
          <w:rFonts w:cs="Calibri"/>
          <w:szCs w:val="22"/>
        </w:rPr>
        <w:t>SPD</w:t>
      </w:r>
      <w:r w:rsidRPr="009518CB">
        <w:rPr>
          <w:rFonts w:cs="Calibri"/>
          <w:szCs w:val="22"/>
        </w:rPr>
        <w:t xml:space="preserve"> system shall be UL listed.</w:t>
      </w:r>
    </w:p>
    <w:p w14:paraId="48D8A709" w14:textId="77777777" w:rsidR="00B0605B" w:rsidRPr="009518CB" w:rsidRDefault="000347AB">
      <w:pPr>
        <w:pStyle w:val="Heading4"/>
        <w:rPr>
          <w:rFonts w:cs="Calibri"/>
          <w:szCs w:val="22"/>
        </w:rPr>
      </w:pPr>
      <w:r w:rsidRPr="009518CB">
        <w:rPr>
          <w:rFonts w:cs="Calibri"/>
          <w:szCs w:val="22"/>
        </w:rPr>
        <w:t xml:space="preserve">Requirements:  The </w:t>
      </w:r>
      <w:r w:rsidR="00BE71D9" w:rsidRPr="009518CB">
        <w:rPr>
          <w:rFonts w:cs="Calibri"/>
          <w:szCs w:val="22"/>
        </w:rPr>
        <w:t>SPD</w:t>
      </w:r>
      <w:r w:rsidRPr="009518CB">
        <w:rPr>
          <w:rFonts w:cs="Calibri"/>
          <w:szCs w:val="22"/>
        </w:rPr>
        <w:t xml:space="preserve"> shall meet or exceed the following specifications.</w:t>
      </w:r>
    </w:p>
    <w:p w14:paraId="3A8CCEC0" w14:textId="719E2266" w:rsidR="00B0605B" w:rsidRPr="009518CB" w:rsidRDefault="000347AB">
      <w:pPr>
        <w:pStyle w:val="Heading5"/>
        <w:rPr>
          <w:rFonts w:cs="Calibri"/>
          <w:szCs w:val="22"/>
        </w:rPr>
      </w:pPr>
      <w:r w:rsidRPr="009518CB">
        <w:rPr>
          <w:rFonts w:cs="Calibri"/>
          <w:szCs w:val="22"/>
        </w:rPr>
        <w:t>Voltage Configuration:  120 volts ac, single phase, 2 wire plus ground.</w:t>
      </w:r>
    </w:p>
    <w:p w14:paraId="46E4645B" w14:textId="77777777" w:rsidR="00B0605B" w:rsidRPr="009518CB" w:rsidRDefault="000347AB">
      <w:pPr>
        <w:pStyle w:val="Heading5"/>
        <w:rPr>
          <w:rFonts w:cs="Calibri"/>
          <w:szCs w:val="22"/>
        </w:rPr>
      </w:pPr>
      <w:r w:rsidRPr="009518CB">
        <w:rPr>
          <w:rFonts w:cs="Calibri"/>
          <w:szCs w:val="22"/>
        </w:rPr>
        <w:t>Protection Configuration:  Phase to neutral, neutral to ground [</w:t>
      </w:r>
      <w:r w:rsidRPr="00561E58">
        <w:rPr>
          <w:rFonts w:cs="Calibri"/>
          <w:b/>
          <w:szCs w:val="22"/>
        </w:rPr>
        <w:t>phase to phase (delta only)</w:t>
      </w:r>
      <w:r w:rsidRPr="009518CB">
        <w:rPr>
          <w:rFonts w:cs="Calibri"/>
          <w:szCs w:val="22"/>
        </w:rPr>
        <w:t>] and phase to ground.</w:t>
      </w:r>
    </w:p>
    <w:p w14:paraId="42EAD146" w14:textId="77777777" w:rsidR="00B0605B" w:rsidRPr="009518CB" w:rsidRDefault="000347AB">
      <w:pPr>
        <w:pStyle w:val="Heading5"/>
        <w:rPr>
          <w:rFonts w:cs="Calibri"/>
          <w:szCs w:val="22"/>
        </w:rPr>
      </w:pPr>
      <w:r w:rsidRPr="009518CB">
        <w:rPr>
          <w:rFonts w:cs="Calibri"/>
          <w:szCs w:val="22"/>
        </w:rPr>
        <w:t>Maximum Surge Current/Phase:  75,000 amps.</w:t>
      </w:r>
    </w:p>
    <w:p w14:paraId="456B3894" w14:textId="54D89234" w:rsidR="00B0605B" w:rsidRPr="009518CB" w:rsidRDefault="000347AB">
      <w:pPr>
        <w:pStyle w:val="Heading5"/>
        <w:rPr>
          <w:rFonts w:cs="Calibri"/>
          <w:szCs w:val="22"/>
        </w:rPr>
      </w:pPr>
      <w:r w:rsidRPr="009518CB">
        <w:rPr>
          <w:rFonts w:cs="Calibri"/>
          <w:szCs w:val="22"/>
        </w:rPr>
        <w:t>Response Time:  Total system response time not to exceed 5 nanoseconds.</w:t>
      </w:r>
    </w:p>
    <w:p w14:paraId="3D6670EA" w14:textId="77777777" w:rsidR="00B0605B" w:rsidRPr="009518CB" w:rsidRDefault="000347AB">
      <w:pPr>
        <w:pStyle w:val="Heading5"/>
        <w:rPr>
          <w:rFonts w:cs="Calibri"/>
          <w:szCs w:val="22"/>
        </w:rPr>
      </w:pPr>
      <w:r w:rsidRPr="009518CB">
        <w:rPr>
          <w:rFonts w:cs="Calibri"/>
          <w:szCs w:val="22"/>
        </w:rPr>
        <w:t>EMI/RFI Noise Rejection:  50 dB (50 Ohm insertion loss measurement method).</w:t>
      </w:r>
    </w:p>
    <w:p w14:paraId="1E06911C" w14:textId="27EA140F" w:rsidR="00B0605B" w:rsidRPr="009518CB" w:rsidRDefault="000347AB">
      <w:pPr>
        <w:pStyle w:val="Heading5"/>
        <w:rPr>
          <w:rFonts w:cs="Calibri"/>
          <w:szCs w:val="22"/>
        </w:rPr>
      </w:pPr>
      <w:r w:rsidRPr="009518CB">
        <w:rPr>
          <w:rFonts w:cs="Calibri"/>
          <w:szCs w:val="22"/>
        </w:rPr>
        <w:t>Clamping Voltage Ratio:  Maximum clamping voltage ratio shall be 2.7:1 under test procedures outlined in ANSI/IEEE C62.41, Category C, 8x20 micros at 10,000 amperes.</w:t>
      </w:r>
    </w:p>
    <w:p w14:paraId="7CF99950" w14:textId="5A105E7C" w:rsidR="00B0605B" w:rsidRPr="007A41B9" w:rsidRDefault="000347AB">
      <w:pPr>
        <w:pStyle w:val="Heading5"/>
        <w:rPr>
          <w:rFonts w:cs="Calibri"/>
          <w:szCs w:val="22"/>
        </w:rPr>
      </w:pPr>
      <w:r w:rsidRPr="009518CB">
        <w:rPr>
          <w:rFonts w:cs="Calibri"/>
          <w:szCs w:val="22"/>
        </w:rPr>
        <w:t>Performance</w:t>
      </w:r>
      <w:r w:rsidRPr="007A41B9">
        <w:rPr>
          <w:rFonts w:cs="Calibri"/>
          <w:szCs w:val="22"/>
        </w:rPr>
        <w:t xml:space="preserve">:  The </w:t>
      </w:r>
      <w:r w:rsidR="00BE71D9" w:rsidRPr="007A41B9">
        <w:rPr>
          <w:rFonts w:cs="Calibri"/>
          <w:szCs w:val="22"/>
        </w:rPr>
        <w:t>SPD</w:t>
      </w:r>
      <w:r w:rsidRPr="007A41B9">
        <w:rPr>
          <w:rFonts w:cs="Calibri"/>
          <w:szCs w:val="22"/>
        </w:rPr>
        <w:t xml:space="preserve"> shall be tested in accordance with procedures outlined in ANSI/IEEE C62.41.  Surges will be applied in all possible combinations; common mode to common mode, normal mode to common mode, normal mode to normal mode, and common mode to normal mode.  The manufacturer shall provide test data consisting of specified clamp voltages and surge current capacity for Category C.  Test shall be conducted as follows:</w:t>
      </w:r>
    </w:p>
    <w:p w14:paraId="35620F8E" w14:textId="77777777" w:rsidR="00B0605B" w:rsidRPr="007A41B9" w:rsidRDefault="000347AB">
      <w:pPr>
        <w:pStyle w:val="Heading6"/>
        <w:rPr>
          <w:rFonts w:cs="Calibri"/>
          <w:szCs w:val="22"/>
        </w:rPr>
      </w:pPr>
      <w:r w:rsidRPr="007A41B9">
        <w:rPr>
          <w:rFonts w:cs="Calibri"/>
          <w:szCs w:val="22"/>
        </w:rPr>
        <w:t>Category B</w:t>
      </w:r>
      <w:r w:rsidRPr="007A41B9">
        <w:rPr>
          <w:rFonts w:cs="Calibri"/>
          <w:szCs w:val="22"/>
        </w:rPr>
        <w:tab/>
        <w:t>100 kHz ring wave - 6,000 volts at 500 amperes.</w:t>
      </w:r>
    </w:p>
    <w:p w14:paraId="0DFB8AC3" w14:textId="77777777" w:rsidR="00B0605B" w:rsidRPr="007A41B9" w:rsidRDefault="000347AB">
      <w:pPr>
        <w:pStyle w:val="Heading6"/>
        <w:rPr>
          <w:rFonts w:cs="Calibri"/>
          <w:szCs w:val="22"/>
        </w:rPr>
      </w:pPr>
      <w:r w:rsidRPr="007A41B9">
        <w:rPr>
          <w:rFonts w:cs="Calibri"/>
          <w:szCs w:val="22"/>
        </w:rPr>
        <w:t>Category B</w:t>
      </w:r>
      <w:r w:rsidRPr="007A41B9">
        <w:rPr>
          <w:rFonts w:cs="Calibri"/>
          <w:szCs w:val="22"/>
        </w:rPr>
        <w:tab/>
        <w:t>Bi-wave - 8 x 20 micros at 3,000 amperes and 1.2 x 50 micros at 6,000 volts.</w:t>
      </w:r>
    </w:p>
    <w:p w14:paraId="06071BF5" w14:textId="0A6A45E8" w:rsidR="00B0605B" w:rsidRPr="007A41B9" w:rsidRDefault="000347AB">
      <w:pPr>
        <w:pStyle w:val="Heading6"/>
        <w:rPr>
          <w:rFonts w:cs="Calibri"/>
          <w:szCs w:val="22"/>
        </w:rPr>
      </w:pPr>
      <w:r w:rsidRPr="007A41B9">
        <w:rPr>
          <w:rFonts w:cs="Calibri"/>
          <w:szCs w:val="22"/>
        </w:rPr>
        <w:t>Category C</w:t>
      </w:r>
      <w:r w:rsidRPr="007A41B9">
        <w:rPr>
          <w:rFonts w:cs="Calibri"/>
          <w:szCs w:val="22"/>
        </w:rPr>
        <w:tab/>
        <w:t xml:space="preserve">Bi-wave - 8 x 20 micros at 10,000 amperes and 1.2 x 50 micros at </w:t>
      </w:r>
      <w:r w:rsidR="00F951F9">
        <w:rPr>
          <w:rFonts w:cs="Calibri"/>
          <w:szCs w:val="22"/>
        </w:rPr>
        <w:t>10 kV</w:t>
      </w:r>
      <w:r w:rsidRPr="007A41B9">
        <w:rPr>
          <w:rFonts w:cs="Calibri"/>
          <w:szCs w:val="22"/>
        </w:rPr>
        <w:t>.</w:t>
      </w:r>
      <w:r w:rsidRPr="007A41B9">
        <w:rPr>
          <w:rFonts w:cs="Calibri"/>
          <w:szCs w:val="22"/>
        </w:rPr>
        <w:br/>
      </w:r>
      <w:r w:rsidRPr="007A41B9">
        <w:rPr>
          <w:rFonts w:cs="Calibri"/>
          <w:szCs w:val="22"/>
        </w:rPr>
        <w:br/>
        <w:t xml:space="preserve">In addition, the system design shall be life tested to withstand 1,000 sequential Category C surges without internal failure.  The </w:t>
      </w:r>
      <w:r w:rsidR="00BE71D9" w:rsidRPr="007A41B9">
        <w:rPr>
          <w:rFonts w:cs="Calibri"/>
          <w:szCs w:val="22"/>
        </w:rPr>
        <w:t>SPD</w:t>
      </w:r>
      <w:r w:rsidRPr="007A41B9">
        <w:rPr>
          <w:rFonts w:cs="Calibri"/>
          <w:szCs w:val="22"/>
        </w:rPr>
        <w:t xml:space="preserve"> shall also be tested to MIL STD 220A for noise insertion loss in a 50 Ohm system fo</w:t>
      </w:r>
      <w:r w:rsidR="00063A9B">
        <w:rPr>
          <w:rFonts w:cs="Calibri"/>
          <w:szCs w:val="22"/>
        </w:rPr>
        <w:t xml:space="preserve">r RF frequencies up to 400 </w:t>
      </w:r>
      <w:proofErr w:type="spellStart"/>
      <w:r w:rsidR="00063A9B">
        <w:rPr>
          <w:rFonts w:cs="Calibri"/>
          <w:szCs w:val="22"/>
        </w:rPr>
        <w:t>MHz.</w:t>
      </w:r>
      <w:proofErr w:type="spellEnd"/>
    </w:p>
    <w:p w14:paraId="59C8338F" w14:textId="77777777" w:rsidR="00B0605B" w:rsidRPr="007A41B9" w:rsidRDefault="000347AB">
      <w:pPr>
        <w:pStyle w:val="Heading4"/>
        <w:rPr>
          <w:rFonts w:cs="Calibri"/>
          <w:szCs w:val="22"/>
        </w:rPr>
      </w:pPr>
      <w:r w:rsidRPr="009518CB">
        <w:rPr>
          <w:rFonts w:cs="Calibri"/>
          <w:szCs w:val="22"/>
        </w:rPr>
        <w:t>Factory Testing</w:t>
      </w:r>
      <w:r w:rsidRPr="007A41B9">
        <w:rPr>
          <w:rFonts w:cs="Calibri"/>
          <w:szCs w:val="22"/>
        </w:rPr>
        <w:t xml:space="preserve">:  The </w:t>
      </w:r>
      <w:r w:rsidR="00BE71D9" w:rsidRPr="007A41B9">
        <w:rPr>
          <w:rFonts w:cs="Calibri"/>
          <w:szCs w:val="22"/>
        </w:rPr>
        <w:t>SPD</w:t>
      </w:r>
      <w:r w:rsidRPr="007A41B9">
        <w:rPr>
          <w:rFonts w:cs="Calibri"/>
          <w:szCs w:val="22"/>
        </w:rPr>
        <w:t xml:space="preserve"> shall be completely factory-tested before shipment.  Testing shall include, but not be restricted to, the following:</w:t>
      </w:r>
    </w:p>
    <w:p w14:paraId="706EDF92" w14:textId="77777777" w:rsidR="00B0605B" w:rsidRPr="007A41B9" w:rsidRDefault="000347AB">
      <w:pPr>
        <w:pStyle w:val="Heading5"/>
        <w:rPr>
          <w:rFonts w:cs="Calibri"/>
          <w:szCs w:val="22"/>
        </w:rPr>
      </w:pPr>
      <w:r w:rsidRPr="007A41B9">
        <w:rPr>
          <w:rFonts w:cs="Calibri"/>
          <w:szCs w:val="22"/>
        </w:rPr>
        <w:t>Quality control checks.</w:t>
      </w:r>
    </w:p>
    <w:p w14:paraId="6883D015" w14:textId="77777777" w:rsidR="00B0605B" w:rsidRPr="007A41B9" w:rsidRDefault="000347AB">
      <w:pPr>
        <w:pStyle w:val="Heading5"/>
        <w:rPr>
          <w:rFonts w:cs="Calibri"/>
          <w:szCs w:val="22"/>
        </w:rPr>
      </w:pPr>
      <w:r w:rsidRPr="007A41B9">
        <w:rPr>
          <w:rFonts w:cs="Calibri"/>
          <w:szCs w:val="22"/>
        </w:rPr>
        <w:t>MIL STD-220A.</w:t>
      </w:r>
    </w:p>
    <w:p w14:paraId="23D2B323" w14:textId="7223E149" w:rsidR="00B0605B" w:rsidRPr="007A41B9" w:rsidRDefault="000347AB">
      <w:pPr>
        <w:pStyle w:val="Heading5"/>
        <w:rPr>
          <w:rFonts w:cs="Calibri"/>
          <w:szCs w:val="22"/>
        </w:rPr>
      </w:pPr>
      <w:r w:rsidRPr="007A41B9">
        <w:rPr>
          <w:rFonts w:cs="Calibri"/>
          <w:szCs w:val="22"/>
        </w:rPr>
        <w:t>ANSI/IEEE C62.41.</w:t>
      </w:r>
    </w:p>
    <w:p w14:paraId="5787AE0C" w14:textId="77777777" w:rsidR="00B0605B" w:rsidRPr="007A41B9" w:rsidRDefault="000347AB">
      <w:pPr>
        <w:pStyle w:val="Heading6"/>
        <w:rPr>
          <w:rFonts w:cs="Calibri"/>
          <w:szCs w:val="22"/>
        </w:rPr>
      </w:pPr>
      <w:r w:rsidRPr="007A41B9">
        <w:rPr>
          <w:rFonts w:cs="Calibri"/>
          <w:szCs w:val="22"/>
        </w:rPr>
        <w:t>Category B.</w:t>
      </w:r>
    </w:p>
    <w:p w14:paraId="0B2CE977" w14:textId="77777777" w:rsidR="00B0605B" w:rsidRPr="007A41B9" w:rsidRDefault="000347AB">
      <w:pPr>
        <w:pStyle w:val="Heading6"/>
        <w:rPr>
          <w:rFonts w:cs="Calibri"/>
          <w:szCs w:val="22"/>
        </w:rPr>
      </w:pPr>
      <w:r w:rsidRPr="007A41B9">
        <w:rPr>
          <w:rFonts w:cs="Calibri"/>
          <w:szCs w:val="22"/>
        </w:rPr>
        <w:t>Category C.</w:t>
      </w:r>
    </w:p>
    <w:p w14:paraId="55052B4F" w14:textId="77777777" w:rsidR="00B0605B" w:rsidRPr="00561E58" w:rsidRDefault="000347AB" w:rsidP="007A41B9">
      <w:pPr>
        <w:pStyle w:val="Main"/>
        <w:numPr>
          <w:ilvl w:val="0"/>
          <w:numId w:val="0"/>
        </w:numPr>
        <w:rPr>
          <w:rFonts w:cs="Calibri"/>
          <w:sz w:val="22"/>
          <w:szCs w:val="22"/>
        </w:rPr>
      </w:pPr>
      <w:r w:rsidRPr="00561E58">
        <w:rPr>
          <w:rFonts w:cs="Calibri"/>
          <w:sz w:val="22"/>
          <w:szCs w:val="22"/>
        </w:rPr>
        <w:lastRenderedPageBreak/>
        <w:t>PART 3 - EXECUTION</w:t>
      </w:r>
    </w:p>
    <w:p w14:paraId="425B4E90" w14:textId="7BB4D916" w:rsidR="00B0605B" w:rsidRPr="007A41B9" w:rsidRDefault="000347AB">
      <w:pPr>
        <w:pStyle w:val="Heading3"/>
        <w:rPr>
          <w:rFonts w:cs="Calibri"/>
          <w:sz w:val="22"/>
          <w:szCs w:val="22"/>
        </w:rPr>
      </w:pPr>
      <w:r w:rsidRPr="007A41B9">
        <w:rPr>
          <w:rFonts w:cs="Calibri"/>
          <w:sz w:val="22"/>
          <w:szCs w:val="22"/>
        </w:rPr>
        <w:t>INSTALLATION OF SURGE SUPPRESSORS</w:t>
      </w:r>
    </w:p>
    <w:p w14:paraId="43E1D47C" w14:textId="77777777" w:rsidR="00B0605B" w:rsidRPr="007A41B9" w:rsidRDefault="000347AB">
      <w:pPr>
        <w:pStyle w:val="Heading4"/>
        <w:rPr>
          <w:rFonts w:cs="Calibri"/>
          <w:szCs w:val="22"/>
        </w:rPr>
      </w:pPr>
      <w:r w:rsidRPr="009518CB">
        <w:rPr>
          <w:rFonts w:cs="Calibri"/>
          <w:szCs w:val="22"/>
        </w:rPr>
        <w:t>General</w:t>
      </w:r>
      <w:r w:rsidRPr="007A41B9">
        <w:rPr>
          <w:rFonts w:cs="Calibri"/>
          <w:szCs w:val="22"/>
        </w:rPr>
        <w:t xml:space="preserve">:  Install </w:t>
      </w:r>
      <w:r w:rsidR="00BE71D9" w:rsidRPr="007A41B9">
        <w:rPr>
          <w:rFonts w:cs="Calibri"/>
          <w:szCs w:val="22"/>
        </w:rPr>
        <w:t>SPD</w:t>
      </w:r>
      <w:r w:rsidRPr="007A41B9">
        <w:rPr>
          <w:rFonts w:cs="Calibri"/>
          <w:szCs w:val="22"/>
        </w:rPr>
        <w:t xml:space="preserve"> devices where shown, in accordance with the manufacturer's written instructions and recognized industry practices to ensure that the </w:t>
      </w:r>
      <w:r w:rsidR="00BE71D9" w:rsidRPr="007A41B9">
        <w:rPr>
          <w:rFonts w:cs="Calibri"/>
          <w:szCs w:val="22"/>
        </w:rPr>
        <w:t>SPD</w:t>
      </w:r>
      <w:r w:rsidRPr="007A41B9">
        <w:rPr>
          <w:rFonts w:cs="Calibri"/>
          <w:szCs w:val="22"/>
        </w:rPr>
        <w:t xml:space="preserve"> devices comply with the requirements and serve the intended purposes.  Comply with the requirements of NEMA and NEC standards and applicable portions of NECA's "Standard of Installation", for installation of electrical devices.</w:t>
      </w:r>
    </w:p>
    <w:p w14:paraId="49A181A6" w14:textId="6852E349" w:rsidR="00B0605B" w:rsidRPr="007A41B9" w:rsidRDefault="000347AB" w:rsidP="00537E49">
      <w:pPr>
        <w:pStyle w:val="CMT"/>
        <w:ind w:left="720" w:hanging="540"/>
      </w:pPr>
      <w:r w:rsidRPr="007A41B9">
        <w:t>EDIT TO SUIT PROJECT</w:t>
      </w:r>
    </w:p>
    <w:p w14:paraId="53F786A9" w14:textId="5373818D" w:rsidR="00B0605B" w:rsidRPr="007A41B9" w:rsidRDefault="00BE71D9">
      <w:pPr>
        <w:pStyle w:val="Heading4"/>
        <w:rPr>
          <w:rFonts w:cs="Calibri"/>
          <w:szCs w:val="22"/>
        </w:rPr>
      </w:pPr>
      <w:r w:rsidRPr="009518CB">
        <w:rPr>
          <w:rFonts w:cs="Calibri"/>
          <w:szCs w:val="22"/>
        </w:rPr>
        <w:t>SPD</w:t>
      </w:r>
      <w:r w:rsidR="000347AB" w:rsidRPr="009518CB">
        <w:rPr>
          <w:rFonts w:cs="Calibri"/>
          <w:szCs w:val="22"/>
        </w:rPr>
        <w:t xml:space="preserve"> Installation</w:t>
      </w:r>
      <w:r w:rsidR="000347AB" w:rsidRPr="007A41B9">
        <w:rPr>
          <w:rFonts w:cs="Calibri"/>
          <w:szCs w:val="22"/>
        </w:rPr>
        <w:t xml:space="preserve">:  Install the surge protector in or adjacent to the equipment which it protects.  Maximum cable length from the protector to the protected device shall not </w:t>
      </w:r>
      <w:r w:rsidR="000347AB" w:rsidRPr="001973D7">
        <w:rPr>
          <w:rFonts w:cs="Calibri"/>
          <w:szCs w:val="22"/>
        </w:rPr>
        <w:t xml:space="preserve">exceed </w:t>
      </w:r>
      <w:r w:rsidR="000347AB" w:rsidRPr="00561E58">
        <w:rPr>
          <w:rFonts w:cs="Calibri"/>
          <w:szCs w:val="22"/>
        </w:rPr>
        <w:t>3</w:t>
      </w:r>
      <w:r w:rsidR="001973D7">
        <w:rPr>
          <w:rFonts w:cs="Calibri"/>
          <w:szCs w:val="22"/>
        </w:rPr>
        <w:t>-feet</w:t>
      </w:r>
      <w:r w:rsidR="000347AB" w:rsidRPr="00561E58">
        <w:rPr>
          <w:rFonts w:cs="Calibri"/>
          <w:szCs w:val="22"/>
        </w:rPr>
        <w:t xml:space="preserve"> </w:t>
      </w:r>
      <w:r w:rsidR="00F951F9" w:rsidRPr="00561E58">
        <w:rPr>
          <w:rFonts w:cs="Calibri"/>
          <w:szCs w:val="22"/>
        </w:rPr>
        <w:t>or SPD manufacturer’s recommendations</w:t>
      </w:r>
      <w:r w:rsidR="000347AB" w:rsidRPr="007A41B9">
        <w:rPr>
          <w:rFonts w:cs="Calibri"/>
          <w:szCs w:val="22"/>
          <w:u w:val="single"/>
        </w:rPr>
        <w:t>.</w:t>
      </w:r>
      <w:r w:rsidR="000347AB" w:rsidRPr="007A41B9">
        <w:rPr>
          <w:rFonts w:cs="Calibri"/>
          <w:szCs w:val="22"/>
        </w:rPr>
        <w:t xml:space="preserve">  The protector status alarm monitor shall be located in the face of the protector.  Provide power wiring connections and disconnect/overcurrent device as required for connection to the protected equipment bus.  [</w:t>
      </w:r>
      <w:r w:rsidR="000347AB" w:rsidRPr="00561E58">
        <w:rPr>
          <w:rFonts w:cs="Calibri"/>
          <w:b/>
          <w:szCs w:val="22"/>
        </w:rPr>
        <w:t>Extend alarm monitoring wiring from the surge suppressor alarm contact to</w:t>
      </w:r>
      <w:r w:rsidR="000347AB" w:rsidRPr="007A41B9">
        <w:rPr>
          <w:rFonts w:cs="Calibri"/>
          <w:szCs w:val="22"/>
        </w:rPr>
        <w:t xml:space="preserve"> </w:t>
      </w:r>
      <w:r w:rsidR="000347AB" w:rsidRPr="007A41B9">
        <w:rPr>
          <w:rFonts w:cs="Calibri"/>
          <w:b/>
          <w:szCs w:val="22"/>
        </w:rPr>
        <w:t>________________]</w:t>
      </w:r>
      <w:r w:rsidR="000347AB" w:rsidRPr="007A41B9">
        <w:rPr>
          <w:rFonts w:cs="Calibri"/>
          <w:szCs w:val="22"/>
        </w:rPr>
        <w:t>.</w:t>
      </w:r>
    </w:p>
    <w:p w14:paraId="59F5D490" w14:textId="113DED58" w:rsidR="00B0605B" w:rsidRPr="007A41B9" w:rsidRDefault="000347AB">
      <w:pPr>
        <w:pStyle w:val="Heading3"/>
        <w:rPr>
          <w:rFonts w:cs="Calibri"/>
          <w:sz w:val="22"/>
          <w:szCs w:val="22"/>
        </w:rPr>
      </w:pPr>
      <w:r w:rsidRPr="007A41B9">
        <w:rPr>
          <w:rFonts w:cs="Calibri"/>
          <w:sz w:val="22"/>
          <w:szCs w:val="22"/>
        </w:rPr>
        <w:t>TESTING</w:t>
      </w:r>
    </w:p>
    <w:p w14:paraId="46E889FB" w14:textId="77777777" w:rsidR="00B0605B" w:rsidRPr="009518CB" w:rsidRDefault="000347AB">
      <w:pPr>
        <w:pStyle w:val="Heading4"/>
        <w:rPr>
          <w:rFonts w:cs="Calibri"/>
          <w:szCs w:val="22"/>
        </w:rPr>
      </w:pPr>
      <w:r w:rsidRPr="009518CB">
        <w:rPr>
          <w:rFonts w:cs="Calibri"/>
          <w:szCs w:val="22"/>
        </w:rPr>
        <w:t xml:space="preserve">Checks:  Prior to energization, check </w:t>
      </w:r>
      <w:r w:rsidR="00BE71D9" w:rsidRPr="009518CB">
        <w:rPr>
          <w:rFonts w:cs="Calibri"/>
          <w:szCs w:val="22"/>
        </w:rPr>
        <w:t>SPD</w:t>
      </w:r>
      <w:r w:rsidRPr="009518CB">
        <w:rPr>
          <w:rFonts w:cs="Calibri"/>
          <w:szCs w:val="22"/>
        </w:rPr>
        <w:t xml:space="preserve"> devices for continuity of circuits and for short circuits.</w:t>
      </w:r>
    </w:p>
    <w:p w14:paraId="62022AB6" w14:textId="0FC70AC2" w:rsidR="00B0605B" w:rsidRPr="009518CB" w:rsidRDefault="000347AB">
      <w:pPr>
        <w:pStyle w:val="Heading4"/>
        <w:rPr>
          <w:rFonts w:cs="Calibri"/>
          <w:szCs w:val="22"/>
        </w:rPr>
      </w:pPr>
      <w:r w:rsidRPr="009518CB">
        <w:rPr>
          <w:rFonts w:cs="Calibri"/>
          <w:szCs w:val="22"/>
        </w:rPr>
        <w:t xml:space="preserve">Demonstration:  Subsequent to wire and cable hookup, energize </w:t>
      </w:r>
      <w:r w:rsidR="00BE71D9" w:rsidRPr="009518CB">
        <w:rPr>
          <w:rFonts w:cs="Calibri"/>
          <w:szCs w:val="22"/>
        </w:rPr>
        <w:t>SPD</w:t>
      </w:r>
      <w:r w:rsidRPr="009518CB">
        <w:rPr>
          <w:rFonts w:cs="Calibri"/>
          <w:szCs w:val="22"/>
        </w:rPr>
        <w:t xml:space="preserve"> devices and demonstrate proper functioning.</w:t>
      </w:r>
    </w:p>
    <w:p w14:paraId="082D81BB" w14:textId="61F47A62" w:rsidR="00B0605B" w:rsidRPr="009518CB" w:rsidRDefault="000347AB">
      <w:pPr>
        <w:pStyle w:val="Heading3"/>
        <w:rPr>
          <w:rFonts w:cs="Calibri"/>
          <w:sz w:val="22"/>
          <w:szCs w:val="22"/>
        </w:rPr>
      </w:pPr>
      <w:r w:rsidRPr="009518CB">
        <w:rPr>
          <w:rFonts w:cs="Calibri"/>
          <w:sz w:val="22"/>
          <w:szCs w:val="22"/>
        </w:rPr>
        <w:t>WARRANTY</w:t>
      </w:r>
    </w:p>
    <w:p w14:paraId="54D68ED7" w14:textId="77777777" w:rsidR="00B0605B" w:rsidRPr="007A41B9" w:rsidRDefault="000347AB">
      <w:pPr>
        <w:pStyle w:val="Heading4"/>
        <w:rPr>
          <w:rFonts w:cs="Calibri"/>
          <w:szCs w:val="22"/>
        </w:rPr>
      </w:pPr>
      <w:r w:rsidRPr="009518CB">
        <w:rPr>
          <w:rFonts w:cs="Calibri"/>
          <w:szCs w:val="22"/>
        </w:rPr>
        <w:t>General</w:t>
      </w:r>
      <w:r w:rsidRPr="007A41B9">
        <w:rPr>
          <w:rFonts w:cs="Calibri"/>
          <w:szCs w:val="22"/>
        </w:rPr>
        <w:t xml:space="preserve">:  The </w:t>
      </w:r>
      <w:r w:rsidR="00BE71D9" w:rsidRPr="007A41B9">
        <w:rPr>
          <w:rFonts w:cs="Calibri"/>
          <w:szCs w:val="22"/>
        </w:rPr>
        <w:t>SPD</w:t>
      </w:r>
      <w:r w:rsidRPr="007A41B9">
        <w:rPr>
          <w:rFonts w:cs="Calibri"/>
          <w:szCs w:val="22"/>
        </w:rPr>
        <w:t xml:space="preserve"> device shall be warranted against defect or failure for one year after substantial completion of the project.</w:t>
      </w:r>
    </w:p>
    <w:p w14:paraId="741EC0E6" w14:textId="77777777" w:rsidR="004C19B9" w:rsidRDefault="004C19B9" w:rsidP="007A41B9">
      <w:pPr>
        <w:pStyle w:val="Main"/>
        <w:numPr>
          <w:ilvl w:val="0"/>
          <w:numId w:val="0"/>
        </w:numPr>
        <w:rPr>
          <w:rFonts w:cs="Calibri"/>
          <w:sz w:val="22"/>
          <w:szCs w:val="22"/>
        </w:rPr>
      </w:pPr>
    </w:p>
    <w:p w14:paraId="4632B8E1" w14:textId="51D0A85E" w:rsidR="00B0605B" w:rsidRPr="00561E58" w:rsidRDefault="000347AB" w:rsidP="007A41B9">
      <w:pPr>
        <w:pStyle w:val="Main"/>
        <w:numPr>
          <w:ilvl w:val="0"/>
          <w:numId w:val="0"/>
        </w:numPr>
        <w:rPr>
          <w:rFonts w:cs="Calibri"/>
          <w:sz w:val="22"/>
          <w:szCs w:val="22"/>
        </w:rPr>
      </w:pPr>
      <w:r w:rsidRPr="00561E58">
        <w:rPr>
          <w:rFonts w:cs="Calibri"/>
          <w:sz w:val="22"/>
          <w:szCs w:val="22"/>
        </w:rPr>
        <w:t xml:space="preserve">END OF SECTION </w:t>
      </w:r>
      <w:r w:rsidR="00BE71D9" w:rsidRPr="00561E58">
        <w:rPr>
          <w:rFonts w:cs="Calibri"/>
          <w:sz w:val="22"/>
          <w:szCs w:val="22"/>
        </w:rPr>
        <w:t>26 4313</w:t>
      </w:r>
    </w:p>
    <w:sectPr w:rsidR="00B0605B" w:rsidRPr="00561E58" w:rsidSect="009540E4">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620" w:right="1152" w:bottom="1440" w:left="1267" w:header="720" w:footer="6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9CC6B" w14:textId="77777777" w:rsidR="00355F0E" w:rsidRDefault="00355F0E" w:rsidP="00D8476D">
      <w:r>
        <w:separator/>
      </w:r>
    </w:p>
  </w:endnote>
  <w:endnote w:type="continuationSeparator" w:id="0">
    <w:p w14:paraId="58A340E5" w14:textId="77777777" w:rsidR="00355F0E" w:rsidRDefault="00355F0E" w:rsidP="00D8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97E2B" w14:textId="77777777" w:rsidR="00B0605B" w:rsidRDefault="00B0605B">
    <w:pPr>
      <w:pStyle w:val="Footer"/>
      <w:tabs>
        <w:tab w:val="clear" w:pos="8640"/>
        <w:tab w:val="right" w:pos="9810"/>
      </w:tabs>
      <w:rPr>
        <w:sz w:val="24"/>
      </w:rPr>
    </w:pPr>
  </w:p>
  <w:p w14:paraId="6BAA0C10" w14:textId="77777777" w:rsidR="00B0605B" w:rsidRDefault="000347AB">
    <w:pPr>
      <w:pStyle w:val="Footer"/>
      <w:tabs>
        <w:tab w:val="clear" w:pos="8640"/>
        <w:tab w:val="right" w:pos="9810"/>
      </w:tabs>
      <w:rPr>
        <w:sz w:val="24"/>
      </w:rPr>
    </w:pPr>
    <w:r>
      <w:rPr>
        <w:sz w:val="24"/>
      </w:rPr>
      <w:t>SECTION 16004 - ELECTRICAL SCOPE OF WORK</w:t>
    </w:r>
    <w:r>
      <w:rPr>
        <w:sz w:val="24"/>
      </w:rPr>
      <w:tab/>
      <w:t>16004-</w:t>
    </w:r>
    <w:r w:rsidR="00C06B62">
      <w:rPr>
        <w:sz w:val="24"/>
      </w:rPr>
      <w:fldChar w:fldCharType="begin"/>
    </w:r>
    <w:r>
      <w:rPr>
        <w:sz w:val="24"/>
      </w:rPr>
      <w:instrText xml:space="preserve"> PAGE </w:instrText>
    </w:r>
    <w:r w:rsidR="00C06B62">
      <w:rPr>
        <w:sz w:val="24"/>
      </w:rPr>
      <w:fldChar w:fldCharType="separate"/>
    </w:r>
    <w:r>
      <w:rPr>
        <w:sz w:val="24"/>
      </w:rPr>
      <w:t>4</w:t>
    </w:r>
    <w:r w:rsidR="00C06B62">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C988B" w14:textId="77777777" w:rsidR="00B0605B" w:rsidRPr="00BE71D9" w:rsidRDefault="00B0605B">
    <w:pPr>
      <w:pStyle w:val="Footer"/>
      <w:tabs>
        <w:tab w:val="clear" w:pos="8640"/>
        <w:tab w:val="right" w:pos="9810"/>
      </w:tabs>
      <w:rPr>
        <w:rFonts w:ascii="Arial" w:hAnsi="Arial" w:cs="Arial"/>
        <w:szCs w:val="22"/>
      </w:rPr>
    </w:pPr>
  </w:p>
  <w:tbl>
    <w:tblPr>
      <w:tblW w:w="0" w:type="auto"/>
      <w:tblLook w:val="04A0" w:firstRow="1" w:lastRow="0" w:firstColumn="1" w:lastColumn="0" w:noHBand="0" w:noVBand="1"/>
    </w:tblPr>
    <w:tblGrid>
      <w:gridCol w:w="3078"/>
      <w:gridCol w:w="540"/>
      <w:gridCol w:w="3330"/>
      <w:gridCol w:w="630"/>
      <w:gridCol w:w="1998"/>
    </w:tblGrid>
    <w:tr w:rsidR="00B8620A" w:rsidRPr="009114A6" w14:paraId="3DA02AFE" w14:textId="77777777" w:rsidTr="00BE3568">
      <w:tc>
        <w:tcPr>
          <w:tcW w:w="3078" w:type="dxa"/>
          <w:shd w:val="clear" w:color="auto" w:fill="auto"/>
        </w:tcPr>
        <w:p w14:paraId="67D06527" w14:textId="77777777" w:rsidR="00B8620A" w:rsidRPr="00BE3568" w:rsidRDefault="00B8620A" w:rsidP="00B8620A">
          <w:pPr>
            <w:pStyle w:val="Footer"/>
            <w:rPr>
              <w:rFonts w:asciiTheme="minorHAnsi" w:hAnsiTheme="minorHAnsi" w:cstheme="minorHAnsi"/>
              <w:szCs w:val="22"/>
            </w:rPr>
          </w:pPr>
          <w:r w:rsidRPr="00BE3568">
            <w:rPr>
              <w:rFonts w:asciiTheme="minorHAnsi" w:hAnsiTheme="minorHAnsi" w:cstheme="minorHAnsi"/>
              <w:szCs w:val="22"/>
            </w:rPr>
            <w:t>&lt;Insert A/E Name&gt;</w:t>
          </w:r>
        </w:p>
      </w:tc>
      <w:tc>
        <w:tcPr>
          <w:tcW w:w="4500" w:type="dxa"/>
          <w:gridSpan w:val="3"/>
          <w:shd w:val="clear" w:color="auto" w:fill="auto"/>
        </w:tcPr>
        <w:p w14:paraId="40C5676E" w14:textId="0ADC9B72" w:rsidR="00B8620A" w:rsidRPr="00BE3568" w:rsidRDefault="00B8620A" w:rsidP="00B8620A">
          <w:pPr>
            <w:pStyle w:val="Footer"/>
            <w:jc w:val="center"/>
            <w:rPr>
              <w:rFonts w:asciiTheme="minorHAnsi" w:hAnsiTheme="minorHAnsi" w:cstheme="minorHAnsi"/>
              <w:b/>
              <w:bCs/>
              <w:szCs w:val="22"/>
            </w:rPr>
          </w:pPr>
          <w:r>
            <w:rPr>
              <w:rFonts w:asciiTheme="minorHAnsi" w:hAnsiTheme="minorHAnsi" w:cstheme="minorHAnsi"/>
              <w:b/>
              <w:bCs/>
              <w:szCs w:val="22"/>
            </w:rPr>
            <w:t>Transient Volt Surge Protection Devices</w:t>
          </w:r>
        </w:p>
      </w:tc>
      <w:tc>
        <w:tcPr>
          <w:tcW w:w="1998" w:type="dxa"/>
          <w:shd w:val="clear" w:color="auto" w:fill="auto"/>
        </w:tcPr>
        <w:p w14:paraId="701DADC4" w14:textId="40B20EBA" w:rsidR="00B8620A" w:rsidRPr="00BE3568" w:rsidRDefault="00B8620A" w:rsidP="00B8620A">
          <w:pPr>
            <w:pStyle w:val="Footer"/>
            <w:jc w:val="right"/>
            <w:rPr>
              <w:rFonts w:asciiTheme="minorHAnsi" w:hAnsiTheme="minorHAnsi" w:cstheme="minorHAnsi"/>
              <w:szCs w:val="22"/>
            </w:rPr>
          </w:pPr>
          <w:r w:rsidRPr="00BE3568">
            <w:rPr>
              <w:rFonts w:asciiTheme="minorHAnsi" w:hAnsiTheme="minorHAnsi" w:cstheme="minorHAnsi"/>
              <w:szCs w:val="22"/>
            </w:rPr>
            <w:t xml:space="preserve">26 </w:t>
          </w:r>
          <w:r>
            <w:rPr>
              <w:rFonts w:asciiTheme="minorHAnsi" w:hAnsiTheme="minorHAnsi" w:cstheme="minorHAnsi"/>
              <w:szCs w:val="22"/>
            </w:rPr>
            <w:t>4313</w:t>
          </w:r>
          <w:r w:rsidRPr="00BE3568">
            <w:rPr>
              <w:rFonts w:asciiTheme="minorHAnsi" w:hAnsiTheme="minorHAnsi" w:cstheme="minorHAnsi"/>
              <w:szCs w:val="22"/>
            </w:rPr>
            <w:t xml:space="preserve"> - </w:t>
          </w:r>
          <w:r w:rsidRPr="00BE3568">
            <w:rPr>
              <w:rFonts w:asciiTheme="minorHAnsi" w:hAnsiTheme="minorHAnsi" w:cstheme="minorHAnsi"/>
              <w:szCs w:val="22"/>
            </w:rPr>
            <w:fldChar w:fldCharType="begin"/>
          </w:r>
          <w:r w:rsidRPr="00BE3568">
            <w:rPr>
              <w:rFonts w:asciiTheme="minorHAnsi" w:hAnsiTheme="minorHAnsi" w:cstheme="minorHAnsi"/>
              <w:szCs w:val="22"/>
            </w:rPr>
            <w:instrText xml:space="preserve"> PAGE  \* MERGEFORMAT </w:instrText>
          </w:r>
          <w:r w:rsidRPr="00BE3568">
            <w:rPr>
              <w:rFonts w:asciiTheme="minorHAnsi" w:hAnsiTheme="minorHAnsi" w:cstheme="minorHAnsi"/>
              <w:szCs w:val="22"/>
            </w:rPr>
            <w:fldChar w:fldCharType="separate"/>
          </w:r>
          <w:r w:rsidR="00DB070B">
            <w:rPr>
              <w:rFonts w:asciiTheme="minorHAnsi" w:hAnsiTheme="minorHAnsi" w:cstheme="minorHAnsi"/>
              <w:noProof/>
              <w:szCs w:val="22"/>
            </w:rPr>
            <w:t>2</w:t>
          </w:r>
          <w:r w:rsidRPr="00BE3568">
            <w:rPr>
              <w:rFonts w:asciiTheme="minorHAnsi" w:hAnsiTheme="minorHAnsi" w:cstheme="minorHAnsi"/>
              <w:szCs w:val="22"/>
            </w:rPr>
            <w:fldChar w:fldCharType="end"/>
          </w:r>
        </w:p>
      </w:tc>
    </w:tr>
    <w:tr w:rsidR="00B8620A" w:rsidRPr="009114A6" w14:paraId="455D9C8E" w14:textId="77777777" w:rsidTr="00BE3568">
      <w:tc>
        <w:tcPr>
          <w:tcW w:w="3618" w:type="dxa"/>
          <w:gridSpan w:val="2"/>
          <w:shd w:val="clear" w:color="auto" w:fill="auto"/>
        </w:tcPr>
        <w:p w14:paraId="449E369A" w14:textId="77777777" w:rsidR="00B8620A" w:rsidRPr="00BE3568" w:rsidRDefault="00B8620A" w:rsidP="00B8620A">
          <w:pPr>
            <w:pStyle w:val="Footer"/>
            <w:rPr>
              <w:rFonts w:asciiTheme="minorHAnsi" w:hAnsiTheme="minorHAnsi" w:cstheme="minorHAnsi"/>
              <w:szCs w:val="22"/>
            </w:rPr>
          </w:pPr>
          <w:r w:rsidRPr="00BE3568">
            <w:rPr>
              <w:rFonts w:asciiTheme="minorHAnsi" w:hAnsiTheme="minorHAnsi" w:cstheme="minorHAnsi"/>
              <w:szCs w:val="22"/>
            </w:rPr>
            <w:t>AE Project #: &lt;Insert Project Number&gt;</w:t>
          </w:r>
        </w:p>
      </w:tc>
      <w:tc>
        <w:tcPr>
          <w:tcW w:w="3330" w:type="dxa"/>
          <w:shd w:val="clear" w:color="auto" w:fill="auto"/>
        </w:tcPr>
        <w:p w14:paraId="04A1941B" w14:textId="386A59B0" w:rsidR="00B8620A" w:rsidRPr="00BE3568" w:rsidRDefault="00B8620A" w:rsidP="00B8620A">
          <w:pPr>
            <w:pStyle w:val="Footer"/>
            <w:jc w:val="center"/>
            <w:rPr>
              <w:rFonts w:asciiTheme="minorHAnsi" w:hAnsiTheme="minorHAnsi" w:cstheme="minorHAnsi"/>
              <w:b/>
              <w:bCs/>
              <w:szCs w:val="22"/>
            </w:rPr>
          </w:pPr>
          <w:r w:rsidRPr="00BE3568">
            <w:rPr>
              <w:rFonts w:asciiTheme="minorHAnsi" w:hAnsiTheme="minorHAnsi" w:cstheme="minorHAnsi"/>
              <w:b/>
              <w:bCs/>
              <w:szCs w:val="22"/>
            </w:rPr>
            <w:t xml:space="preserve">UH Master: </w:t>
          </w:r>
          <w:r w:rsidR="00494573">
            <w:rPr>
              <w:rFonts w:asciiTheme="minorHAnsi" w:hAnsiTheme="minorHAnsi" w:cstheme="minorHAnsi"/>
              <w:b/>
              <w:bCs/>
              <w:szCs w:val="22"/>
            </w:rPr>
            <w:t>0</w:t>
          </w:r>
          <w:r w:rsidR="00ED51DB">
            <w:rPr>
              <w:rFonts w:asciiTheme="minorHAnsi" w:hAnsiTheme="minorHAnsi" w:cstheme="minorHAnsi"/>
              <w:b/>
              <w:bCs/>
              <w:szCs w:val="22"/>
            </w:rPr>
            <w:t>8</w:t>
          </w:r>
          <w:r w:rsidRPr="00BE3568">
            <w:rPr>
              <w:rFonts w:asciiTheme="minorHAnsi" w:hAnsiTheme="minorHAnsi" w:cstheme="minorHAnsi"/>
              <w:b/>
              <w:bCs/>
              <w:szCs w:val="22"/>
            </w:rPr>
            <w:t>.20</w:t>
          </w:r>
          <w:r w:rsidR="00494573">
            <w:rPr>
              <w:rFonts w:asciiTheme="minorHAnsi" w:hAnsiTheme="minorHAnsi" w:cstheme="minorHAnsi"/>
              <w:b/>
              <w:bCs/>
              <w:szCs w:val="22"/>
            </w:rPr>
            <w:t>20</w:t>
          </w:r>
        </w:p>
      </w:tc>
      <w:tc>
        <w:tcPr>
          <w:tcW w:w="2628" w:type="dxa"/>
          <w:gridSpan w:val="2"/>
          <w:shd w:val="clear" w:color="auto" w:fill="auto"/>
        </w:tcPr>
        <w:p w14:paraId="45BB8156" w14:textId="77777777" w:rsidR="00B8620A" w:rsidRPr="00BE3568" w:rsidRDefault="00B8620A" w:rsidP="00B8620A">
          <w:pPr>
            <w:pStyle w:val="Footer"/>
            <w:jc w:val="right"/>
            <w:rPr>
              <w:rFonts w:asciiTheme="minorHAnsi" w:hAnsiTheme="minorHAnsi" w:cstheme="minorHAnsi"/>
              <w:szCs w:val="22"/>
            </w:rPr>
          </w:pPr>
        </w:p>
      </w:tc>
    </w:tr>
  </w:tbl>
  <w:p w14:paraId="6C462B1E" w14:textId="517F33D8" w:rsidR="00B0605B" w:rsidRPr="003328BA" w:rsidRDefault="00B0605B" w:rsidP="00B86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EA68B" w14:textId="77777777" w:rsidR="00ED51DB" w:rsidRDefault="00ED5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0FBFB" w14:textId="77777777" w:rsidR="00355F0E" w:rsidRDefault="00355F0E" w:rsidP="00D8476D">
      <w:r>
        <w:separator/>
      </w:r>
    </w:p>
  </w:footnote>
  <w:footnote w:type="continuationSeparator" w:id="0">
    <w:p w14:paraId="6C7C0D48" w14:textId="77777777" w:rsidR="00355F0E" w:rsidRDefault="00355F0E" w:rsidP="00D8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62348" w14:textId="255CF6B8" w:rsidR="00B0605B" w:rsidRDefault="000347AB">
    <w:pPr>
      <w:tabs>
        <w:tab w:val="right" w:pos="9810"/>
      </w:tabs>
      <w:spacing w:line="200" w:lineRule="exact"/>
    </w:pPr>
    <w:r>
      <w:t>[Project Name]</w:t>
    </w:r>
    <w:r>
      <w:tab/>
    </w:r>
    <w:r w:rsidR="00C06B62">
      <w:fldChar w:fldCharType="begin"/>
    </w:r>
    <w:r>
      <w:instrText xml:space="preserve"> TIME \@ "MMMM d, yyyy" </w:instrText>
    </w:r>
    <w:r w:rsidR="00C06B62">
      <w:fldChar w:fldCharType="separate"/>
    </w:r>
    <w:r w:rsidR="00DB070B">
      <w:rPr>
        <w:noProof/>
      </w:rPr>
      <w:t>August 25, 2020</w:t>
    </w:r>
    <w:r w:rsidR="00C06B62">
      <w:fldChar w:fldCharType="end"/>
    </w:r>
    <w:r>
      <w:br/>
      <w:t>[Project Number</w:t>
    </w:r>
    <w:proofErr w:type="gramStart"/>
    <w:r>
      <w:t>]</w:t>
    </w:r>
    <w:proofErr w:type="gramEnd"/>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B8620A" w:rsidRPr="009F4DB2" w14:paraId="1EC35E6D" w14:textId="77777777" w:rsidTr="00BE3568">
      <w:tc>
        <w:tcPr>
          <w:tcW w:w="9576" w:type="dxa"/>
          <w:gridSpan w:val="2"/>
          <w:shd w:val="clear" w:color="auto" w:fill="auto"/>
        </w:tcPr>
        <w:p w14:paraId="4C38167C" w14:textId="77777777" w:rsidR="00B8620A" w:rsidRPr="00BE3568" w:rsidRDefault="00B8620A" w:rsidP="00B8620A">
          <w:pPr>
            <w:pStyle w:val="Header"/>
            <w:tabs>
              <w:tab w:val="center" w:pos="4860"/>
            </w:tabs>
            <w:jc w:val="center"/>
            <w:rPr>
              <w:rFonts w:asciiTheme="minorHAnsi" w:hAnsiTheme="minorHAnsi" w:cstheme="minorHAnsi"/>
              <w:b/>
              <w:bCs/>
              <w:szCs w:val="22"/>
            </w:rPr>
          </w:pPr>
          <w:bookmarkStart w:id="6" w:name="_Hlk13470755"/>
          <w:r w:rsidRPr="00BE3568">
            <w:rPr>
              <w:rFonts w:asciiTheme="minorHAnsi" w:hAnsiTheme="minorHAnsi" w:cstheme="minorHAnsi"/>
              <w:b/>
              <w:bCs/>
              <w:szCs w:val="22"/>
            </w:rPr>
            <w:t>University of Houston Master Specification</w:t>
          </w:r>
        </w:p>
      </w:tc>
    </w:tr>
    <w:tr w:rsidR="00B8620A" w:rsidRPr="009F4DB2" w14:paraId="03A03CE7" w14:textId="77777777" w:rsidTr="00BE3568">
      <w:tc>
        <w:tcPr>
          <w:tcW w:w="4968" w:type="dxa"/>
          <w:shd w:val="clear" w:color="auto" w:fill="auto"/>
        </w:tcPr>
        <w:p w14:paraId="480A4B19" w14:textId="77777777" w:rsidR="00B8620A" w:rsidRPr="00BE3568" w:rsidRDefault="00B8620A" w:rsidP="00B8620A">
          <w:pPr>
            <w:pStyle w:val="Header"/>
            <w:tabs>
              <w:tab w:val="center" w:pos="4860"/>
            </w:tabs>
            <w:rPr>
              <w:rFonts w:asciiTheme="minorHAnsi" w:hAnsiTheme="minorHAnsi" w:cstheme="minorHAnsi"/>
              <w:szCs w:val="22"/>
            </w:rPr>
          </w:pPr>
          <w:r w:rsidRPr="00BE3568">
            <w:rPr>
              <w:rFonts w:asciiTheme="minorHAnsi" w:hAnsiTheme="minorHAnsi" w:cstheme="minorHAnsi"/>
              <w:szCs w:val="22"/>
            </w:rPr>
            <w:t>&lt;Insert Project Name&gt;</w:t>
          </w:r>
        </w:p>
      </w:tc>
      <w:tc>
        <w:tcPr>
          <w:tcW w:w="4608" w:type="dxa"/>
          <w:shd w:val="clear" w:color="auto" w:fill="auto"/>
        </w:tcPr>
        <w:p w14:paraId="4DEFCD35" w14:textId="77777777" w:rsidR="00B8620A" w:rsidRPr="00BE3568" w:rsidRDefault="00B8620A" w:rsidP="00B8620A">
          <w:pPr>
            <w:pStyle w:val="Header"/>
            <w:tabs>
              <w:tab w:val="center" w:pos="4860"/>
            </w:tabs>
            <w:jc w:val="right"/>
            <w:rPr>
              <w:rFonts w:asciiTheme="minorHAnsi" w:hAnsiTheme="minorHAnsi" w:cstheme="minorHAnsi"/>
              <w:szCs w:val="22"/>
            </w:rPr>
          </w:pPr>
          <w:r w:rsidRPr="00BE3568">
            <w:rPr>
              <w:rFonts w:asciiTheme="minorHAnsi" w:hAnsiTheme="minorHAnsi" w:cstheme="minorHAnsi"/>
              <w:szCs w:val="22"/>
            </w:rPr>
            <w:t xml:space="preserve">&lt;Insert Issue Name&gt; </w:t>
          </w:r>
        </w:p>
      </w:tc>
    </w:tr>
    <w:tr w:rsidR="00B8620A" w:rsidRPr="009F4DB2" w14:paraId="20AB3C9B" w14:textId="77777777" w:rsidTr="00BE3568">
      <w:tc>
        <w:tcPr>
          <w:tcW w:w="4968" w:type="dxa"/>
          <w:shd w:val="clear" w:color="auto" w:fill="auto"/>
        </w:tcPr>
        <w:p w14:paraId="354D2ACF" w14:textId="77777777" w:rsidR="00B8620A" w:rsidRPr="00BE3568" w:rsidRDefault="00B8620A" w:rsidP="00B8620A">
          <w:pPr>
            <w:pStyle w:val="Header"/>
            <w:tabs>
              <w:tab w:val="center" w:pos="4860"/>
            </w:tabs>
            <w:rPr>
              <w:rFonts w:asciiTheme="minorHAnsi" w:hAnsiTheme="minorHAnsi" w:cstheme="minorHAnsi"/>
              <w:szCs w:val="22"/>
            </w:rPr>
          </w:pPr>
          <w:r w:rsidRPr="00BE3568">
            <w:rPr>
              <w:rFonts w:asciiTheme="minorHAnsi" w:hAnsiTheme="minorHAnsi" w:cstheme="minorHAnsi"/>
              <w:szCs w:val="22"/>
            </w:rPr>
            <w:t>&lt;Insert U of H Proj #&gt;</w:t>
          </w:r>
        </w:p>
      </w:tc>
      <w:tc>
        <w:tcPr>
          <w:tcW w:w="4608" w:type="dxa"/>
          <w:shd w:val="clear" w:color="auto" w:fill="auto"/>
        </w:tcPr>
        <w:p w14:paraId="6C700636" w14:textId="77777777" w:rsidR="00B8620A" w:rsidRPr="00BE3568" w:rsidRDefault="00B8620A" w:rsidP="00B8620A">
          <w:pPr>
            <w:pStyle w:val="Header"/>
            <w:tabs>
              <w:tab w:val="center" w:pos="4860"/>
            </w:tabs>
            <w:jc w:val="right"/>
            <w:rPr>
              <w:rFonts w:asciiTheme="minorHAnsi" w:hAnsiTheme="minorHAnsi" w:cstheme="minorHAnsi"/>
              <w:szCs w:val="22"/>
            </w:rPr>
          </w:pPr>
          <w:r w:rsidRPr="00BE3568">
            <w:rPr>
              <w:rFonts w:asciiTheme="minorHAnsi" w:hAnsiTheme="minorHAnsi" w:cstheme="minorHAnsi"/>
              <w:szCs w:val="22"/>
            </w:rPr>
            <w:t xml:space="preserve">&lt;Insert Issue Date&gt; </w:t>
          </w:r>
        </w:p>
      </w:tc>
    </w:tr>
    <w:bookmarkEnd w:id="6"/>
  </w:tbl>
  <w:p w14:paraId="260C0DC9" w14:textId="5A4E1AD4" w:rsidR="00E43C06" w:rsidRPr="003328BA" w:rsidRDefault="00E43C06" w:rsidP="003328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CD6A7" w14:textId="77777777" w:rsidR="00ED51DB" w:rsidRDefault="00ED5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F868A26"/>
    <w:lvl w:ilvl="0">
      <w:start w:val="1"/>
      <w:numFmt w:val="decimal"/>
      <w:pStyle w:val="Heading1"/>
      <w:lvlText w:val="1.%1"/>
      <w:legacy w:legacy="1" w:legacySpace="0" w:legacyIndent="0"/>
      <w:lvlJc w:val="left"/>
      <w:pPr>
        <w:ind w:left="720" w:firstLine="0"/>
      </w:pPr>
      <w:rPr>
        <w:rFonts w:ascii="Calibri" w:hAnsi="Calibri" w:cs="Calibri" w:hint="default"/>
        <w:b w:val="0"/>
        <w:i w:val="0"/>
        <w:sz w:val="22"/>
        <w:szCs w:val="22"/>
      </w:rPr>
    </w:lvl>
    <w:lvl w:ilvl="1">
      <w:numFmt w:val="decimal"/>
      <w:pStyle w:val="Heading2"/>
      <w:lvlText w:val="2.%2"/>
      <w:legacy w:legacy="1" w:legacySpace="0" w:legacyIndent="0"/>
      <w:lvlJc w:val="left"/>
      <w:pPr>
        <w:ind w:left="720" w:firstLine="0"/>
      </w:pPr>
      <w:rPr>
        <w:rFonts w:ascii="Calibri" w:hAnsi="Calibri" w:cs="Calibri" w:hint="default"/>
        <w:b w:val="0"/>
        <w:i w:val="0"/>
        <w:sz w:val="22"/>
        <w:szCs w:val="22"/>
      </w:rPr>
    </w:lvl>
    <w:lvl w:ilvl="2">
      <w:numFmt w:val="decimal"/>
      <w:pStyle w:val="Heading3"/>
      <w:lvlText w:val="3.%3"/>
      <w:legacy w:legacy="1" w:legacySpace="0" w:legacyIndent="432"/>
      <w:lvlJc w:val="left"/>
      <w:pPr>
        <w:ind w:left="720" w:hanging="432"/>
      </w:pPr>
      <w:rPr>
        <w:rFonts w:ascii="Calibri" w:hAnsi="Calibri" w:cs="Calibr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Calibri" w:hAnsi="Calibri" w:cs="Calibr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AB"/>
    <w:rsid w:val="000012A7"/>
    <w:rsid w:val="000347AB"/>
    <w:rsid w:val="00063A9B"/>
    <w:rsid w:val="000E70A4"/>
    <w:rsid w:val="001611F0"/>
    <w:rsid w:val="0017065F"/>
    <w:rsid w:val="001973D7"/>
    <w:rsid w:val="001C500E"/>
    <w:rsid w:val="001C6CE5"/>
    <w:rsid w:val="00202A30"/>
    <w:rsid w:val="00205993"/>
    <w:rsid w:val="002725A8"/>
    <w:rsid w:val="0029514F"/>
    <w:rsid w:val="002E36FA"/>
    <w:rsid w:val="003328BA"/>
    <w:rsid w:val="00355F0E"/>
    <w:rsid w:val="00395EC3"/>
    <w:rsid w:val="003C193D"/>
    <w:rsid w:val="00494573"/>
    <w:rsid w:val="004A73E6"/>
    <w:rsid w:val="004C19B9"/>
    <w:rsid w:val="00537E49"/>
    <w:rsid w:val="00561E58"/>
    <w:rsid w:val="00570560"/>
    <w:rsid w:val="005C6487"/>
    <w:rsid w:val="006C3963"/>
    <w:rsid w:val="00733B7C"/>
    <w:rsid w:val="007A41B9"/>
    <w:rsid w:val="007B5C4B"/>
    <w:rsid w:val="007C06F2"/>
    <w:rsid w:val="007E5EC3"/>
    <w:rsid w:val="00845980"/>
    <w:rsid w:val="00884199"/>
    <w:rsid w:val="008F079F"/>
    <w:rsid w:val="00914FA9"/>
    <w:rsid w:val="009518CB"/>
    <w:rsid w:val="009540E4"/>
    <w:rsid w:val="00A13890"/>
    <w:rsid w:val="00A23B1F"/>
    <w:rsid w:val="00A46407"/>
    <w:rsid w:val="00A87927"/>
    <w:rsid w:val="00AF1B69"/>
    <w:rsid w:val="00B0605B"/>
    <w:rsid w:val="00B8620A"/>
    <w:rsid w:val="00BE71D9"/>
    <w:rsid w:val="00C06B62"/>
    <w:rsid w:val="00C37F86"/>
    <w:rsid w:val="00CB790B"/>
    <w:rsid w:val="00D8476D"/>
    <w:rsid w:val="00DB070B"/>
    <w:rsid w:val="00DF4E19"/>
    <w:rsid w:val="00E43C06"/>
    <w:rsid w:val="00E87C76"/>
    <w:rsid w:val="00ED51DB"/>
    <w:rsid w:val="00F1077F"/>
    <w:rsid w:val="00F57006"/>
    <w:rsid w:val="00F6507F"/>
    <w:rsid w:val="00F95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7944C"/>
  <w15:docId w15:val="{E4CC06F9-96DD-4048-AC87-76B13E0A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573"/>
    <w:pPr>
      <w:overflowPunct w:val="0"/>
      <w:autoSpaceDE w:val="0"/>
      <w:autoSpaceDN w:val="0"/>
      <w:adjustRightInd w:val="0"/>
      <w:textAlignment w:val="baseline"/>
    </w:pPr>
    <w:rPr>
      <w:rFonts w:ascii="Calibri" w:hAnsi="Calibri"/>
      <w:sz w:val="22"/>
    </w:rPr>
  </w:style>
  <w:style w:type="paragraph" w:styleId="Heading1">
    <w:name w:val="heading 1"/>
    <w:basedOn w:val="Normal"/>
    <w:next w:val="Normal"/>
    <w:qFormat/>
    <w:rsid w:val="00B0605B"/>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rsid w:val="00B0605B"/>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rsid w:val="00B0605B"/>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rsid w:val="00B0605B"/>
    <w:pPr>
      <w:numPr>
        <w:ilvl w:val="3"/>
        <w:numId w:val="1"/>
      </w:numPr>
      <w:spacing w:before="60" w:after="60"/>
      <w:ind w:hanging="540"/>
      <w:outlineLvl w:val="3"/>
    </w:pPr>
  </w:style>
  <w:style w:type="paragraph" w:styleId="Heading5">
    <w:name w:val="heading 5"/>
    <w:basedOn w:val="Normal"/>
    <w:next w:val="Normal"/>
    <w:qFormat/>
    <w:rsid w:val="00B0605B"/>
    <w:pPr>
      <w:numPr>
        <w:ilvl w:val="4"/>
        <w:numId w:val="1"/>
      </w:numPr>
      <w:tabs>
        <w:tab w:val="left" w:pos="1170"/>
      </w:tabs>
      <w:spacing w:before="60" w:after="60"/>
      <w:ind w:hanging="450"/>
      <w:outlineLvl w:val="4"/>
    </w:pPr>
  </w:style>
  <w:style w:type="paragraph" w:styleId="Heading6">
    <w:name w:val="heading 6"/>
    <w:basedOn w:val="Normal"/>
    <w:next w:val="Normal"/>
    <w:qFormat/>
    <w:rsid w:val="00B0605B"/>
    <w:pPr>
      <w:numPr>
        <w:ilvl w:val="5"/>
        <w:numId w:val="1"/>
      </w:numPr>
      <w:spacing w:before="60" w:after="60"/>
      <w:ind w:hanging="360"/>
      <w:outlineLvl w:val="5"/>
    </w:pPr>
  </w:style>
  <w:style w:type="paragraph" w:styleId="Heading7">
    <w:name w:val="heading 7"/>
    <w:basedOn w:val="Normal"/>
    <w:next w:val="Normal"/>
    <w:qFormat/>
    <w:rsid w:val="00B0605B"/>
    <w:pPr>
      <w:numPr>
        <w:ilvl w:val="6"/>
        <w:numId w:val="1"/>
      </w:numPr>
      <w:spacing w:before="240" w:after="60"/>
      <w:outlineLvl w:val="6"/>
    </w:pPr>
    <w:rPr>
      <w:rFonts w:ascii="Arial" w:hAnsi="Arial"/>
    </w:rPr>
  </w:style>
  <w:style w:type="paragraph" w:styleId="Heading8">
    <w:name w:val="heading 8"/>
    <w:basedOn w:val="Normal"/>
    <w:next w:val="Normal"/>
    <w:qFormat/>
    <w:rsid w:val="00B0605B"/>
    <w:pPr>
      <w:numPr>
        <w:ilvl w:val="7"/>
        <w:numId w:val="1"/>
      </w:numPr>
      <w:spacing w:before="240" w:after="60"/>
      <w:outlineLvl w:val="7"/>
    </w:pPr>
    <w:rPr>
      <w:rFonts w:ascii="Arial" w:hAnsi="Arial"/>
      <w:i/>
    </w:rPr>
  </w:style>
  <w:style w:type="paragraph" w:styleId="Heading9">
    <w:name w:val="heading 9"/>
    <w:basedOn w:val="Normal"/>
    <w:next w:val="Normal"/>
    <w:qFormat/>
    <w:rsid w:val="00B0605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605B"/>
    <w:pPr>
      <w:tabs>
        <w:tab w:val="center" w:pos="4320"/>
        <w:tab w:val="right" w:pos="8640"/>
      </w:tabs>
    </w:pPr>
  </w:style>
  <w:style w:type="paragraph" w:customStyle="1" w:styleId="Main">
    <w:name w:val="Main"/>
    <w:basedOn w:val="Heading1"/>
    <w:rsid w:val="00B0605B"/>
    <w:pPr>
      <w:outlineLvl w:val="9"/>
    </w:pPr>
  </w:style>
  <w:style w:type="paragraph" w:styleId="Footer">
    <w:name w:val="footer"/>
    <w:basedOn w:val="Normal"/>
    <w:link w:val="FooterChar"/>
    <w:uiPriority w:val="99"/>
    <w:rsid w:val="00B0605B"/>
    <w:pPr>
      <w:tabs>
        <w:tab w:val="center" w:pos="4320"/>
        <w:tab w:val="right" w:pos="8640"/>
      </w:tabs>
    </w:pPr>
  </w:style>
  <w:style w:type="paragraph" w:customStyle="1" w:styleId="RUNNINGHEAD">
    <w:name w:val="RUNNING HEAD"/>
    <w:rsid w:val="00E43C06"/>
    <w:pPr>
      <w:tabs>
        <w:tab w:val="right" w:pos="9792"/>
      </w:tabs>
      <w:spacing w:line="240" w:lineRule="exact"/>
    </w:pPr>
    <w:rPr>
      <w:rFonts w:ascii="zapf humanist" w:hAnsi="zapf humanist"/>
    </w:rPr>
  </w:style>
  <w:style w:type="character" w:customStyle="1" w:styleId="FooterChar">
    <w:name w:val="Footer Char"/>
    <w:basedOn w:val="DefaultParagraphFont"/>
    <w:link w:val="Footer"/>
    <w:uiPriority w:val="99"/>
    <w:rsid w:val="003328BA"/>
  </w:style>
  <w:style w:type="character" w:customStyle="1" w:styleId="HeaderChar">
    <w:name w:val="Header Char"/>
    <w:basedOn w:val="DefaultParagraphFont"/>
    <w:link w:val="Header"/>
    <w:uiPriority w:val="99"/>
    <w:rsid w:val="003328BA"/>
  </w:style>
  <w:style w:type="paragraph" w:styleId="BalloonText">
    <w:name w:val="Balloon Text"/>
    <w:basedOn w:val="Normal"/>
    <w:link w:val="BalloonTextChar"/>
    <w:uiPriority w:val="99"/>
    <w:semiHidden/>
    <w:unhideWhenUsed/>
    <w:rsid w:val="009540E4"/>
    <w:rPr>
      <w:rFonts w:ascii="Tahoma" w:hAnsi="Tahoma" w:cs="Tahoma"/>
      <w:sz w:val="16"/>
      <w:szCs w:val="16"/>
    </w:rPr>
  </w:style>
  <w:style w:type="character" w:customStyle="1" w:styleId="BalloonTextChar">
    <w:name w:val="Balloon Text Char"/>
    <w:link w:val="BalloonText"/>
    <w:uiPriority w:val="99"/>
    <w:semiHidden/>
    <w:rsid w:val="009540E4"/>
    <w:rPr>
      <w:rFonts w:ascii="Tahoma" w:hAnsi="Tahoma" w:cs="Tahoma"/>
      <w:sz w:val="16"/>
      <w:szCs w:val="16"/>
    </w:rPr>
  </w:style>
  <w:style w:type="character" w:customStyle="1" w:styleId="PR2Char">
    <w:name w:val="PR2 Char"/>
    <w:link w:val="PR2"/>
    <w:rsid w:val="00B8620A"/>
    <w:rPr>
      <w:rFonts w:ascii="Calibri" w:hAnsi="Calibri" w:cs="Calibri"/>
      <w:sz w:val="22"/>
    </w:rPr>
  </w:style>
  <w:style w:type="paragraph" w:customStyle="1" w:styleId="PR2">
    <w:name w:val="PR2"/>
    <w:basedOn w:val="Normal"/>
    <w:link w:val="PR2Char"/>
    <w:qFormat/>
    <w:rsid w:val="00B8620A"/>
    <w:pPr>
      <w:numPr>
        <w:ilvl w:val="5"/>
        <w:numId w:val="2"/>
      </w:numPr>
      <w:suppressAutoHyphens/>
      <w:overflowPunct/>
      <w:autoSpaceDE/>
      <w:autoSpaceDN/>
      <w:adjustRightInd/>
      <w:jc w:val="both"/>
      <w:textAlignment w:val="auto"/>
      <w:outlineLvl w:val="3"/>
    </w:pPr>
    <w:rPr>
      <w:rFonts w:cs="Calibri"/>
    </w:rPr>
  </w:style>
  <w:style w:type="paragraph" w:customStyle="1" w:styleId="PR2Before6pt">
    <w:name w:val="PR2 + Before: 6 pt"/>
    <w:basedOn w:val="PR2"/>
    <w:link w:val="PR2Before6ptChar"/>
    <w:autoRedefine/>
    <w:qFormat/>
    <w:rsid w:val="00B8620A"/>
    <w:pPr>
      <w:spacing w:before="120"/>
    </w:pPr>
  </w:style>
  <w:style w:type="character" w:customStyle="1" w:styleId="PR2Before6ptChar">
    <w:name w:val="PR2 + Before: 6 pt Char"/>
    <w:basedOn w:val="PR2Char"/>
    <w:link w:val="PR2Before6pt"/>
    <w:rsid w:val="00B8620A"/>
    <w:rPr>
      <w:rFonts w:ascii="Calibri" w:hAnsi="Calibri" w:cs="Calibri"/>
      <w:sz w:val="22"/>
    </w:rPr>
  </w:style>
  <w:style w:type="paragraph" w:customStyle="1" w:styleId="PRT">
    <w:name w:val="PRT"/>
    <w:basedOn w:val="Normal"/>
    <w:next w:val="ART"/>
    <w:qFormat/>
    <w:rsid w:val="00B8620A"/>
    <w:pPr>
      <w:keepNext/>
      <w:numPr>
        <w:numId w:val="2"/>
      </w:numPr>
      <w:suppressAutoHyphens/>
      <w:overflowPunct/>
      <w:autoSpaceDE/>
      <w:autoSpaceDN/>
      <w:adjustRightInd/>
      <w:spacing w:before="480"/>
      <w:jc w:val="both"/>
      <w:textAlignment w:val="auto"/>
      <w:outlineLvl w:val="0"/>
    </w:pPr>
    <w:rPr>
      <w:rFonts w:cs="Calibri"/>
    </w:rPr>
  </w:style>
  <w:style w:type="paragraph" w:customStyle="1" w:styleId="ART">
    <w:name w:val="ART"/>
    <w:basedOn w:val="Normal"/>
    <w:next w:val="PR1"/>
    <w:qFormat/>
    <w:rsid w:val="00B8620A"/>
    <w:pPr>
      <w:keepNext/>
      <w:numPr>
        <w:ilvl w:val="3"/>
        <w:numId w:val="2"/>
      </w:numPr>
      <w:suppressAutoHyphens/>
      <w:overflowPunct/>
      <w:autoSpaceDE/>
      <w:autoSpaceDN/>
      <w:adjustRightInd/>
      <w:spacing w:before="360"/>
      <w:jc w:val="both"/>
      <w:textAlignment w:val="auto"/>
      <w:outlineLvl w:val="1"/>
    </w:pPr>
    <w:rPr>
      <w:rFonts w:cs="Calibri"/>
    </w:rPr>
  </w:style>
  <w:style w:type="paragraph" w:customStyle="1" w:styleId="PR1">
    <w:name w:val="PR1"/>
    <w:basedOn w:val="Normal"/>
    <w:link w:val="PR1Char"/>
    <w:qFormat/>
    <w:rsid w:val="00B8620A"/>
    <w:pPr>
      <w:numPr>
        <w:ilvl w:val="4"/>
        <w:numId w:val="2"/>
      </w:numPr>
      <w:suppressAutoHyphens/>
      <w:overflowPunct/>
      <w:autoSpaceDE/>
      <w:autoSpaceDN/>
      <w:adjustRightInd/>
      <w:spacing w:before="240"/>
      <w:jc w:val="both"/>
      <w:textAlignment w:val="auto"/>
      <w:outlineLvl w:val="2"/>
    </w:pPr>
    <w:rPr>
      <w:rFonts w:cs="Calibri"/>
    </w:rPr>
  </w:style>
  <w:style w:type="paragraph" w:customStyle="1" w:styleId="PR3">
    <w:name w:val="PR3"/>
    <w:basedOn w:val="Normal"/>
    <w:qFormat/>
    <w:rsid w:val="00B8620A"/>
    <w:pPr>
      <w:numPr>
        <w:ilvl w:val="6"/>
        <w:numId w:val="2"/>
      </w:numPr>
      <w:suppressAutoHyphens/>
      <w:overflowPunct/>
      <w:autoSpaceDE/>
      <w:autoSpaceDN/>
      <w:adjustRightInd/>
      <w:jc w:val="both"/>
      <w:textAlignment w:val="auto"/>
      <w:outlineLvl w:val="4"/>
    </w:pPr>
    <w:rPr>
      <w:rFonts w:cs="Calibri"/>
    </w:rPr>
  </w:style>
  <w:style w:type="paragraph" w:customStyle="1" w:styleId="PR4">
    <w:name w:val="PR4"/>
    <w:basedOn w:val="Normal"/>
    <w:qFormat/>
    <w:rsid w:val="00B8620A"/>
    <w:pPr>
      <w:numPr>
        <w:ilvl w:val="7"/>
        <w:numId w:val="2"/>
      </w:numPr>
      <w:suppressAutoHyphens/>
      <w:overflowPunct/>
      <w:autoSpaceDE/>
      <w:autoSpaceDN/>
      <w:adjustRightInd/>
      <w:jc w:val="both"/>
      <w:textAlignment w:val="auto"/>
      <w:outlineLvl w:val="5"/>
    </w:pPr>
    <w:rPr>
      <w:rFonts w:cs="Calibri"/>
    </w:rPr>
  </w:style>
  <w:style w:type="paragraph" w:customStyle="1" w:styleId="PR5">
    <w:name w:val="PR5"/>
    <w:basedOn w:val="Normal"/>
    <w:qFormat/>
    <w:rsid w:val="00B8620A"/>
    <w:pPr>
      <w:numPr>
        <w:ilvl w:val="8"/>
        <w:numId w:val="2"/>
      </w:numPr>
      <w:suppressAutoHyphens/>
      <w:overflowPunct/>
      <w:autoSpaceDE/>
      <w:autoSpaceDN/>
      <w:adjustRightInd/>
      <w:jc w:val="both"/>
      <w:textAlignment w:val="auto"/>
      <w:outlineLvl w:val="6"/>
    </w:pPr>
    <w:rPr>
      <w:rFonts w:cs="Calibri"/>
    </w:rPr>
  </w:style>
  <w:style w:type="character" w:customStyle="1" w:styleId="PR1Char">
    <w:name w:val="PR1 Char"/>
    <w:link w:val="PR1"/>
    <w:rsid w:val="00B8620A"/>
    <w:rPr>
      <w:rFonts w:ascii="Calibri" w:hAnsi="Calibri" w:cs="Calibri"/>
      <w:sz w:val="22"/>
    </w:rPr>
  </w:style>
  <w:style w:type="paragraph" w:customStyle="1" w:styleId="CMT">
    <w:name w:val="CMT"/>
    <w:basedOn w:val="Normal"/>
    <w:link w:val="CMTChar"/>
    <w:rsid w:val="00494573"/>
    <w:pPr>
      <w:suppressAutoHyphens/>
      <w:overflowPunct/>
      <w:autoSpaceDE/>
      <w:autoSpaceDN/>
      <w:adjustRightInd/>
      <w:spacing w:before="120" w:after="120"/>
      <w:jc w:val="both"/>
      <w:textAlignment w:val="auto"/>
    </w:pPr>
    <w:rPr>
      <w:rFonts w:cs="Calibri"/>
      <w:vanish/>
      <w:color w:val="0000FF"/>
    </w:rPr>
  </w:style>
  <w:style w:type="character" w:customStyle="1" w:styleId="CMTChar">
    <w:name w:val="CMT Char"/>
    <w:link w:val="CMT"/>
    <w:rsid w:val="004C19B9"/>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2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1463</Words>
  <Characters>8035</Characters>
  <Application>Microsoft Office Word</Application>
  <DocSecurity>0</DocSecurity>
  <Lines>138</Lines>
  <Paragraphs>83</Paragraphs>
  <ScaleCrop>false</ScaleCrop>
  <HeadingPairs>
    <vt:vector size="4" baseType="variant">
      <vt:variant>
        <vt:lpstr>Title</vt:lpstr>
      </vt:variant>
      <vt:variant>
        <vt:i4>1</vt:i4>
      </vt:variant>
      <vt:variant>
        <vt:lpstr>E&amp;C Spec Template</vt:lpstr>
      </vt:variant>
      <vt:variant>
        <vt:i4>0</vt:i4>
      </vt:variant>
    </vt:vector>
  </HeadingPairs>
  <TitlesOfParts>
    <vt:vector size="1" baseType="lpstr">
      <vt:lpstr>E&amp;C Spec Template</vt:lpstr>
    </vt:vector>
  </TitlesOfParts>
  <Company>E&amp;C Engineers</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E&amp;C Spec Template</dc:title>
  <dc:subject/>
  <dc:creator>WCC</dc:creator>
  <cp:keywords/>
  <cp:lastModifiedBy>Taylor, Jim</cp:lastModifiedBy>
  <cp:revision>5</cp:revision>
  <cp:lastPrinted>2013-01-22T21:15:00Z</cp:lastPrinted>
  <dcterms:created xsi:type="dcterms:W3CDTF">2020-08-25T17:30:00Z</dcterms:created>
  <dcterms:modified xsi:type="dcterms:W3CDTF">2020-08-25T17:33:00Z</dcterms:modified>
</cp:coreProperties>
</file>